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0546" w14:textId="7F090C7E" w:rsidR="00BB0A86" w:rsidRDefault="00BB0A86" w:rsidP="00BB0A86">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#92bis</w:t>
      </w:r>
      <w:r>
        <w:rPr>
          <w:rFonts w:ascii="Arial" w:hAnsi="Arial" w:cs="Arial"/>
          <w:b/>
          <w:bCs/>
          <w:sz w:val="28"/>
        </w:rPr>
        <w:tab/>
      </w:r>
      <w:r>
        <w:rPr>
          <w:rFonts w:ascii="Arial" w:hAnsi="Arial" w:cs="Arial"/>
          <w:b/>
          <w:bCs/>
          <w:sz w:val="28"/>
        </w:rPr>
        <w:tab/>
      </w:r>
      <w:r w:rsidR="00C41572" w:rsidRPr="00C41572">
        <w:rPr>
          <w:rFonts w:ascii="Arial" w:hAnsi="Arial" w:cs="Arial"/>
          <w:b/>
          <w:bCs/>
          <w:sz w:val="28"/>
        </w:rPr>
        <w:t>R1-1804897</w:t>
      </w:r>
      <w:bookmarkStart w:id="0" w:name="_GoBack"/>
      <w:bookmarkEnd w:id="0"/>
    </w:p>
    <w:p w14:paraId="118B1218" w14:textId="77777777" w:rsidR="00BB0A86" w:rsidRDefault="00BB0A86" w:rsidP="00BB0A86">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35E8446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B0A86" w:rsidRPr="00BB0A86">
        <w:rPr>
          <w:rFonts w:ascii="Arial" w:hAnsi="Arial"/>
          <w:sz w:val="24"/>
        </w:rPr>
        <w:t>6.</w:t>
      </w:r>
      <w:r w:rsidR="00151482">
        <w:rPr>
          <w:rFonts w:ascii="Arial" w:hAnsi="Arial"/>
          <w:sz w:val="24"/>
        </w:rPr>
        <w:t>1</w:t>
      </w:r>
      <w:r w:rsidR="00CA5F11">
        <w:rPr>
          <w:rFonts w:ascii="Arial" w:hAnsi="Arial"/>
          <w:sz w:val="24"/>
        </w:rPr>
        <w:t>.</w:t>
      </w:r>
      <w:r w:rsidR="00151482">
        <w:rPr>
          <w:rFonts w:ascii="Arial" w:hAnsi="Arial"/>
          <w:sz w:val="24"/>
        </w:rPr>
        <w:t>6</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EB09463"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1482">
        <w:rPr>
          <w:rFonts w:ascii="Arial" w:hAnsi="Arial"/>
          <w:sz w:val="24"/>
        </w:rPr>
        <w:t>Considerations for DL quality reporting in msg3 for NB-IoT</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B89F572" w14:textId="701C941D" w:rsidR="00DE1C8B" w:rsidRDefault="001714FF" w:rsidP="00151482">
      <w:r>
        <w:t>In RAN1#</w:t>
      </w:r>
      <w:r w:rsidR="00CA5F11">
        <w:t xml:space="preserve">92, </w:t>
      </w:r>
      <w:r w:rsidR="00151482">
        <w:t>the following agreement was reached:</w:t>
      </w:r>
    </w:p>
    <w:p w14:paraId="266AB82E" w14:textId="77777777" w:rsidR="00151482" w:rsidRDefault="00151482" w:rsidP="00151482">
      <w:pPr>
        <w:rPr>
          <w:lang w:eastAsia="x-none"/>
        </w:rPr>
      </w:pPr>
      <w:r w:rsidRPr="00261272">
        <w:rPr>
          <w:highlight w:val="green"/>
          <w:lang w:eastAsia="x-none"/>
        </w:rPr>
        <w:t>Agreement:</w:t>
      </w:r>
    </w:p>
    <w:p w14:paraId="672895E0" w14:textId="77777777" w:rsidR="00151482" w:rsidRPr="00267978" w:rsidRDefault="00151482" w:rsidP="00151482">
      <w:pPr>
        <w:numPr>
          <w:ilvl w:val="0"/>
          <w:numId w:val="13"/>
        </w:numPr>
        <w:overflowPunct/>
        <w:autoSpaceDE/>
        <w:autoSpaceDN/>
        <w:adjustRightInd/>
        <w:spacing w:after="0"/>
        <w:textAlignment w:val="auto"/>
        <w:rPr>
          <w:lang w:eastAsia="x-none"/>
        </w:rPr>
      </w:pPr>
      <w:r w:rsidRPr="00267978">
        <w:rPr>
          <w:lang w:eastAsia="x-none"/>
        </w:rPr>
        <w:t>The downlink channel quality of NB-IoT UE is reported in MSG 3</w:t>
      </w:r>
    </w:p>
    <w:p w14:paraId="1B0A9210" w14:textId="77777777" w:rsidR="00151482" w:rsidRPr="00267978" w:rsidRDefault="00151482" w:rsidP="00151482">
      <w:pPr>
        <w:numPr>
          <w:ilvl w:val="1"/>
          <w:numId w:val="13"/>
        </w:numPr>
        <w:overflowPunct/>
        <w:autoSpaceDE/>
        <w:autoSpaceDN/>
        <w:adjustRightInd/>
        <w:spacing w:after="0"/>
        <w:textAlignment w:val="auto"/>
        <w:rPr>
          <w:lang w:eastAsia="x-none"/>
        </w:rPr>
      </w:pPr>
      <w:r w:rsidRPr="00267978">
        <w:rPr>
          <w:lang w:eastAsia="x-none"/>
        </w:rPr>
        <w:t>The downlink channel quality is denoted as the repetition number that the UE needs to decode hypothetical NPDCCH with BLER of 1%</w:t>
      </w:r>
    </w:p>
    <w:p w14:paraId="7F922190" w14:textId="77777777" w:rsidR="00151482" w:rsidRPr="00267978" w:rsidRDefault="00151482" w:rsidP="00151482">
      <w:pPr>
        <w:numPr>
          <w:ilvl w:val="2"/>
          <w:numId w:val="13"/>
        </w:numPr>
        <w:overflowPunct/>
        <w:autoSpaceDE/>
        <w:autoSpaceDN/>
        <w:adjustRightInd/>
        <w:spacing w:after="0"/>
        <w:textAlignment w:val="auto"/>
        <w:rPr>
          <w:lang w:eastAsia="x-none"/>
        </w:rPr>
      </w:pPr>
      <w:r w:rsidRPr="00267978">
        <w:rPr>
          <w:lang w:eastAsia="x-none"/>
        </w:rPr>
        <w:t>FFS the details for this metric (at least including measure resources, measure duration, and the details for hypothetical NPDCCH, such as the format, the aggregation level)</w:t>
      </w:r>
    </w:p>
    <w:p w14:paraId="241E8288" w14:textId="77777777" w:rsidR="00151482" w:rsidRPr="00267978" w:rsidRDefault="00151482" w:rsidP="00151482">
      <w:pPr>
        <w:numPr>
          <w:ilvl w:val="1"/>
          <w:numId w:val="13"/>
        </w:numPr>
        <w:overflowPunct/>
        <w:autoSpaceDE/>
        <w:autoSpaceDN/>
        <w:adjustRightInd/>
        <w:spacing w:after="0"/>
        <w:textAlignment w:val="auto"/>
        <w:rPr>
          <w:lang w:eastAsia="x-none"/>
        </w:rPr>
      </w:pPr>
      <w:r w:rsidRPr="00267978">
        <w:rPr>
          <w:lang w:eastAsia="x-none"/>
        </w:rPr>
        <w:t>This feature is optional for Rel-14 UEs</w:t>
      </w:r>
    </w:p>
    <w:p w14:paraId="41826091" w14:textId="77777777" w:rsidR="00151482" w:rsidRPr="00267978" w:rsidRDefault="00151482" w:rsidP="00151482">
      <w:pPr>
        <w:numPr>
          <w:ilvl w:val="1"/>
          <w:numId w:val="13"/>
        </w:numPr>
        <w:overflowPunct/>
        <w:autoSpaceDE/>
        <w:autoSpaceDN/>
        <w:adjustRightInd/>
        <w:spacing w:after="0"/>
        <w:textAlignment w:val="auto"/>
        <w:rPr>
          <w:lang w:eastAsia="x-none"/>
        </w:rPr>
      </w:pPr>
      <w:r w:rsidRPr="00267978">
        <w:rPr>
          <w:lang w:eastAsia="x-none"/>
        </w:rPr>
        <w:t xml:space="preserve">Send LS to RAN2/RAN4 with the following actions: </w:t>
      </w:r>
    </w:p>
    <w:p w14:paraId="41BF6741" w14:textId="77777777" w:rsidR="00151482" w:rsidRPr="00267978" w:rsidRDefault="00151482" w:rsidP="00151482">
      <w:pPr>
        <w:numPr>
          <w:ilvl w:val="2"/>
          <w:numId w:val="13"/>
        </w:numPr>
        <w:overflowPunct/>
        <w:autoSpaceDE/>
        <w:autoSpaceDN/>
        <w:adjustRightInd/>
        <w:spacing w:after="0"/>
        <w:textAlignment w:val="auto"/>
        <w:rPr>
          <w:lang w:eastAsia="x-none"/>
        </w:rPr>
      </w:pPr>
      <w:r w:rsidRPr="00267978">
        <w:rPr>
          <w:lang w:eastAsia="x-none"/>
        </w:rPr>
        <w:t>To RAN2: To implement the above signaling</w:t>
      </w:r>
    </w:p>
    <w:p w14:paraId="66E8F483" w14:textId="77777777" w:rsidR="00151482" w:rsidRPr="00267978" w:rsidRDefault="00151482" w:rsidP="00151482">
      <w:pPr>
        <w:numPr>
          <w:ilvl w:val="2"/>
          <w:numId w:val="13"/>
        </w:numPr>
        <w:overflowPunct/>
        <w:autoSpaceDE/>
        <w:autoSpaceDN/>
        <w:adjustRightInd/>
        <w:spacing w:after="0"/>
        <w:textAlignment w:val="auto"/>
        <w:rPr>
          <w:lang w:eastAsia="x-none"/>
        </w:rPr>
      </w:pPr>
      <w:r w:rsidRPr="00267978">
        <w:rPr>
          <w:lang w:eastAsia="x-none"/>
        </w:rPr>
        <w:t>To RAN4: To define the channel quality metric and new requirements/test cases (if needed)</w:t>
      </w:r>
    </w:p>
    <w:p w14:paraId="11F945DF" w14:textId="77777777" w:rsidR="00151482" w:rsidRDefault="00151482" w:rsidP="00151482">
      <w:pPr>
        <w:numPr>
          <w:ilvl w:val="1"/>
          <w:numId w:val="13"/>
        </w:numPr>
        <w:overflowPunct/>
        <w:autoSpaceDE/>
        <w:autoSpaceDN/>
        <w:adjustRightInd/>
        <w:spacing w:after="0"/>
        <w:textAlignment w:val="auto"/>
        <w:rPr>
          <w:lang w:eastAsia="x-none"/>
        </w:rPr>
      </w:pPr>
      <w:r w:rsidRPr="00267978">
        <w:rPr>
          <w:lang w:eastAsia="x-none"/>
        </w:rPr>
        <w:t>Note: This info can be used to assist subsequent DL transmission scheduling and does not put constraints on future enhancements in later release</w:t>
      </w:r>
    </w:p>
    <w:p w14:paraId="136B06DD" w14:textId="22FA2E4A" w:rsidR="00151482" w:rsidRDefault="00151482" w:rsidP="00151482"/>
    <w:p w14:paraId="4B84BAF1" w14:textId="01529F9E" w:rsidR="00151482" w:rsidRDefault="00151482" w:rsidP="001714FF">
      <w:r>
        <w:t>In this contribution, we present our views on the remaining details on DL quality reporting.</w:t>
      </w:r>
    </w:p>
    <w:p w14:paraId="59C232A2" w14:textId="77777777" w:rsidR="00151482" w:rsidRDefault="00151482" w:rsidP="001714FF"/>
    <w:p w14:paraId="2F08D884" w14:textId="5AC50A63" w:rsidR="00CA5F11" w:rsidRDefault="00151482" w:rsidP="00CA5F11">
      <w:pPr>
        <w:pStyle w:val="Heading1"/>
      </w:pPr>
      <w:r>
        <w:t>General methodology</w:t>
      </w:r>
    </w:p>
    <w:p w14:paraId="542C6908" w14:textId="20A94F7F" w:rsidR="00151482" w:rsidRDefault="00151482" w:rsidP="00151482">
      <w:pPr>
        <w:rPr>
          <w:lang w:eastAsia="x-none"/>
        </w:rPr>
      </w:pPr>
      <w:r>
        <w:rPr>
          <w:lang w:val="en-GB"/>
        </w:rPr>
        <w:t xml:space="preserve">The agreement in RAN1#92 quotes that the downlink quality is defined as </w:t>
      </w:r>
      <w:r w:rsidRPr="00151482">
        <w:rPr>
          <w:i/>
          <w:lang w:val="en-GB"/>
        </w:rPr>
        <w:t>“</w:t>
      </w:r>
      <w:r w:rsidRPr="00151482">
        <w:rPr>
          <w:i/>
          <w:lang w:eastAsia="x-none"/>
        </w:rPr>
        <w:t>the repetition number that the UE needs to decode hypothetical NPDCCH with BLER of 1%”</w:t>
      </w:r>
      <w:r>
        <w:rPr>
          <w:i/>
          <w:lang w:eastAsia="x-none"/>
        </w:rPr>
        <w:t>.</w:t>
      </w:r>
      <w:r>
        <w:rPr>
          <w:lang w:eastAsia="x-none"/>
        </w:rPr>
        <w:t xml:space="preserve"> Thus, it makes sense to define the DL quality in a similar way the CQI is defined in TS 36.213</w:t>
      </w:r>
      <w:r w:rsidR="006010BD">
        <w:rPr>
          <w:lang w:eastAsia="x-none"/>
        </w:rPr>
        <w:t xml:space="preserve"> for LTE</w:t>
      </w:r>
      <w:r>
        <w:rPr>
          <w:lang w:eastAsia="x-none"/>
        </w:rPr>
        <w:t>:</w:t>
      </w:r>
    </w:p>
    <w:p w14:paraId="511A6052" w14:textId="1408E58D" w:rsidR="00151482" w:rsidRDefault="00151482" w:rsidP="00151482">
      <w:pPr>
        <w:rPr>
          <w:lang w:val="en-GB"/>
        </w:rPr>
      </w:pPr>
      <w:r w:rsidRPr="00151482">
        <w:rPr>
          <w:noProof/>
          <w:lang w:val="en-GB"/>
        </w:rPr>
        <mc:AlternateContent>
          <mc:Choice Requires="wps">
            <w:drawing>
              <wp:inline distT="0" distB="0" distL="0" distR="0" wp14:anchorId="58DEE03D" wp14:editId="3EA32681">
                <wp:extent cx="5909481" cy="627797"/>
                <wp:effectExtent l="0" t="0" r="1524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627797"/>
                        </a:xfrm>
                        <a:prstGeom prst="rect">
                          <a:avLst/>
                        </a:prstGeom>
                        <a:solidFill>
                          <a:srgbClr val="FFFFFF"/>
                        </a:solidFill>
                        <a:ln w="9525">
                          <a:solidFill>
                            <a:srgbClr val="000000"/>
                          </a:solidFill>
                          <a:miter lim="800000"/>
                          <a:headEnd/>
                          <a:tailEnd/>
                        </a:ln>
                      </wps:spPr>
                      <wps:txb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wps:txbx>
                      <wps:bodyPr rot="0" vert="horz" wrap="square" lIns="91440" tIns="45720" rIns="91440" bIns="45720" anchor="t" anchorCtr="0">
                        <a:noAutofit/>
                      </wps:bodyPr>
                    </wps:wsp>
                  </a:graphicData>
                </a:graphic>
              </wp:inline>
            </w:drawing>
          </mc:Choice>
          <mc:Fallback>
            <w:pict>
              <v:shapetype w14:anchorId="58DEE03D" id="_x0000_t202" coordsize="21600,21600" o:spt="202" path="m,l,21600r21600,l21600,xe">
                <v:stroke joinstyle="miter"/>
                <v:path gradientshapeok="t" o:connecttype="rect"/>
              </v:shapetype>
              <v:shape id="Text Box 2" o:spid="_x0000_s1026" type="#_x0000_t202" style="width:465.3pt;height: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qgrJAIAAEYEAAAOAAAAZHJzL2Uyb0RvYy54bWysU9uO2yAQfa/Uf0C8N74o2SRWnNU221SV&#10;thdptx+AMY5RgXGBxE6/vgP2puntpSoPiGGGw8w5M5vbQStyEtZJMCXNZiklwnCopTmU9PPT/tWK&#10;EueZqZkCI0p6Fo7ebl++2PRdIXJoQdXCEgQxrui7krbed0WSON4KzdwMOmHQ2YDVzKNpD0ltWY/o&#10;WiV5mt4kPdi6s8CFc3h7PzrpNuI3jeD+Y9M44YkqKebm427jXoU92W5YcbCsayWf0mD/kIVm0uCn&#10;F6h75hk5WvkblJbcgoPGzzjoBJpGchFrwGqy9JdqHlvWiVgLkuO6C03u/8HyD6dPlsi6pHm2pMQw&#10;jSI9icGT1zCQPPDTd67AsMcOA/2A16hzrNV1D8C/OGJg1zJzEHfWQt8KVmN+WXiZXD0dcVwAqfr3&#10;UOM37OghAg2N1YE8pIMgOup0vmgTUuF4uVin6/kqo4Sj7yZfLtfL+AUrnl931vm3AjQJh5Ja1D6i&#10;s9OD8yEbVjyHhM8cKFnvpVLRsIdqpyw5MeyTfVwT+k9hypC+pOtFvhgJ+CtEGtefILT02PBK6pKu&#10;LkGsCLS9MXVsR8+kGs+YsjITj4G6kUQ/VMOkSwX1GRm1MDY2DiIeWrDfKOmxqUvqvh6ZFZSodwZV&#10;WWfzeZiCaMwXyxwNe+2prj3McIQqqadkPO58nJxAmIE7VK+Rkdgg85jJlCs2a+R7GqwwDdd2jPox&#10;/tvvAAAA//8DAFBLAwQUAAYACAAAACEAXBAZHdsAAAAEAQAADwAAAGRycy9kb3ducmV2LnhtbEyP&#10;QU/DMAyF70j8h8hIXBBLYai0pemEkEBwGwPBNWu8tiJxSpJ15d9juMDFetaz3vtcr2ZnxYQhDp4U&#10;XCwyEEitNwN1Cl5f7s8LEDFpMtp6QgVfGGHVHB/VujL+QM84bVInOIRipRX0KY2VlLHt0em48CMS&#10;ezsfnE68hk6aoA8c7qy8zLJcOj0QN/R6xLse24/N3ikorh6n9/i0XL+1+c6W6ex6evgMSp2ezLc3&#10;IBLO6e8YfvAZHRpm2vo9mSisAn4k/U72ymWWg9iyKEqQTS3/wzffAAAA//8DAFBLAQItABQABgAI&#10;AAAAIQC2gziS/gAAAOEBAAATAAAAAAAAAAAAAAAAAAAAAABbQ29udGVudF9UeXBlc10ueG1sUEsB&#10;Ai0AFAAGAAgAAAAhADj9If/WAAAAlAEAAAsAAAAAAAAAAAAAAAAALwEAAF9yZWxzLy5yZWxzUEsB&#10;Ai0AFAAGAAgAAAAhAAeCqCskAgAARgQAAA4AAAAAAAAAAAAAAAAALgIAAGRycy9lMm9Eb2MueG1s&#10;UEsBAi0AFAAGAAgAAAAhAFwQGR3bAAAABAEAAA8AAAAAAAAAAAAAAAAAfgQAAGRycy9kb3ducmV2&#10;LnhtbFBLBQYAAAAABAAEAPMAAACGBQAAAAA=&#10;">
                <v:textbo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v:textbox>
                <w10:anchorlock/>
              </v:shape>
            </w:pict>
          </mc:Fallback>
        </mc:AlternateContent>
      </w:r>
    </w:p>
    <w:p w14:paraId="345B1F06" w14:textId="4B9B9E72" w:rsidR="00151482" w:rsidRDefault="00773CB5" w:rsidP="00151482">
      <w:pPr>
        <w:rPr>
          <w:lang w:val="en-GB"/>
        </w:rPr>
      </w:pPr>
      <w:r>
        <w:rPr>
          <w:lang w:val="en-GB"/>
        </w:rPr>
        <w:t>We make the following proposal on the definition of DL quality reporting.</w:t>
      </w:r>
    </w:p>
    <w:p w14:paraId="35498EB7" w14:textId="449BC70A" w:rsidR="00151482" w:rsidRDefault="001849A3" w:rsidP="00151482">
      <w:pPr>
        <w:rPr>
          <w:b/>
          <w:lang w:val="en-GB"/>
        </w:rPr>
      </w:pPr>
      <w:r w:rsidRPr="001849A3">
        <w:rPr>
          <w:b/>
          <w:u w:val="single"/>
          <w:lang w:val="en-GB"/>
        </w:rPr>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w:t>
      </w:r>
      <w:r w:rsidR="006010BD">
        <w:rPr>
          <w:b/>
          <w:lang w:val="en-GB"/>
        </w:rPr>
        <w:t>N</w:t>
      </w:r>
      <w:r>
        <w:rPr>
          <w:b/>
          <w:lang w:val="en-GB"/>
        </w:rPr>
        <w:t>PDCCH transmitted in the ‘NPDCCH reference resource’ to be decoded with an error probability not exceeding 0.01</w:t>
      </w:r>
      <w:r w:rsidR="00A263AB">
        <w:rPr>
          <w:b/>
          <w:lang w:val="en-GB"/>
        </w:rPr>
        <w:t>”</w:t>
      </w:r>
      <w:r>
        <w:rPr>
          <w:b/>
          <w:lang w:val="en-GB"/>
        </w:rPr>
        <w:t xml:space="preserve">. </w:t>
      </w:r>
    </w:p>
    <w:p w14:paraId="1874E98D" w14:textId="58308F6D" w:rsidR="001849A3" w:rsidRDefault="001849A3" w:rsidP="00151482">
      <w:pPr>
        <w:rPr>
          <w:b/>
          <w:lang w:val="en-GB"/>
        </w:rPr>
      </w:pPr>
    </w:p>
    <w:p w14:paraId="5FCA5790" w14:textId="3F902DD5" w:rsidR="001849A3" w:rsidRDefault="001849A3" w:rsidP="001849A3">
      <w:pPr>
        <w:pStyle w:val="Heading1"/>
      </w:pPr>
      <w:r>
        <w:lastRenderedPageBreak/>
        <w:t xml:space="preserve">Definition of reference resource and measurement </w:t>
      </w:r>
      <w:r w:rsidR="00A263AB">
        <w:t>resources</w:t>
      </w:r>
    </w:p>
    <w:p w14:paraId="15DD2468" w14:textId="0F74FF56" w:rsidR="001849A3" w:rsidRDefault="00773CB5" w:rsidP="001849A3">
      <w:pPr>
        <w:rPr>
          <w:lang w:val="en-GB"/>
        </w:rPr>
      </w:pPr>
      <w:r w:rsidRPr="00773CB5">
        <w:rPr>
          <w:lang w:val="en-GB"/>
        </w:rPr>
        <w:t>Based</w:t>
      </w:r>
      <w:r>
        <w:rPr>
          <w:lang w:val="en-GB"/>
        </w:rPr>
        <w:t xml:space="preserve"> on the principle of proposal 1, and in line with what is done for LTE, we need to define at least the following:</w:t>
      </w:r>
    </w:p>
    <w:p w14:paraId="16743AC6" w14:textId="00972D94" w:rsidR="00773CB5"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w:t>
      </w:r>
      <w:r w:rsidR="00773CB5" w:rsidRPr="00E826DB">
        <w:rPr>
          <w:rFonts w:ascii="Times New Roman" w:eastAsia="SimSun" w:hAnsi="Times New Roman"/>
          <w:sz w:val="20"/>
          <w:szCs w:val="20"/>
          <w:lang w:val="en-GB"/>
        </w:rPr>
        <w:t xml:space="preserve">he “reference resource”, i.e., </w:t>
      </w:r>
      <w:r>
        <w:rPr>
          <w:rFonts w:ascii="Times New Roman" w:eastAsia="SimSun" w:hAnsi="Times New Roman"/>
          <w:sz w:val="20"/>
          <w:szCs w:val="20"/>
          <w:lang w:val="en-GB"/>
        </w:rPr>
        <w:t>where</w:t>
      </w:r>
      <w:r w:rsidR="00773CB5" w:rsidRPr="00E826DB">
        <w:rPr>
          <w:rFonts w:ascii="Times New Roman" w:eastAsia="SimSun" w:hAnsi="Times New Roman"/>
          <w:sz w:val="20"/>
          <w:szCs w:val="20"/>
          <w:lang w:val="en-GB"/>
        </w:rPr>
        <w:t xml:space="preserve"> the placement of the virtual NPDCCH</w:t>
      </w:r>
      <w:r>
        <w:rPr>
          <w:rFonts w:ascii="Times New Roman" w:eastAsia="SimSun" w:hAnsi="Times New Roman"/>
          <w:sz w:val="20"/>
          <w:szCs w:val="20"/>
          <w:lang w:val="en-GB"/>
        </w:rPr>
        <w:t xml:space="preserve"> is</w:t>
      </w:r>
      <w:r w:rsidR="00773CB5" w:rsidRPr="00E826DB">
        <w:rPr>
          <w:rFonts w:ascii="Times New Roman" w:eastAsia="SimSun" w:hAnsi="Times New Roman"/>
          <w:sz w:val="20"/>
          <w:szCs w:val="20"/>
          <w:lang w:val="en-GB"/>
        </w:rPr>
        <w:t>.</w:t>
      </w:r>
    </w:p>
    <w:p w14:paraId="64167196" w14:textId="7A0793B3" w:rsidR="00E826DB"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The “measurement resources”, i.e., where the UE is allowed to measure to determine the DL quality.</w:t>
      </w:r>
    </w:p>
    <w:p w14:paraId="1B33C6FE" w14:textId="2C65B353" w:rsidR="00E826DB" w:rsidRDefault="00E826DB" w:rsidP="00E826DB">
      <w:pPr>
        <w:rPr>
          <w:lang w:val="en-GB"/>
        </w:rPr>
      </w:pPr>
    </w:p>
    <w:p w14:paraId="549D41B4" w14:textId="617FE2FB" w:rsidR="00E826DB" w:rsidRDefault="00E826DB" w:rsidP="00E826DB">
      <w:pPr>
        <w:rPr>
          <w:lang w:val="en-GB"/>
        </w:rPr>
      </w:pPr>
      <w:r>
        <w:rPr>
          <w:lang w:val="en-GB"/>
        </w:rPr>
        <w:t xml:space="preserve">For the reference resource, </w:t>
      </w:r>
      <w:r w:rsidR="00FF4EE1">
        <w:rPr>
          <w:lang w:val="en-GB"/>
        </w:rPr>
        <w:t>we propose to make the NPDCCH reference resource equal to the first candidate in the entire search space. This has the following advantages with respect to other options:</w:t>
      </w:r>
    </w:p>
    <w:p w14:paraId="0233A28F" w14:textId="465B6778" w:rsidR="00FF4EE1" w:rsidRPr="00416F4C" w:rsidRDefault="00FF4EE1" w:rsidP="00FF4EE1">
      <w:pPr>
        <w:pStyle w:val="ListParagraph"/>
        <w:numPr>
          <w:ilvl w:val="0"/>
          <w:numId w:val="16"/>
        </w:numPr>
        <w:rPr>
          <w:rFonts w:ascii="Times New Roman" w:hAnsi="Times New Roman"/>
          <w:lang w:val="en-GB"/>
        </w:rPr>
      </w:pPr>
      <w:r w:rsidRPr="00416F4C">
        <w:rPr>
          <w:rFonts w:ascii="Times New Roman" w:hAnsi="Times New Roman"/>
          <w:lang w:val="en-GB"/>
        </w:rPr>
        <w:t xml:space="preserve">The UE always monitors this candidate (it is impossible to receive a </w:t>
      </w:r>
      <w:proofErr w:type="gramStart"/>
      <w:r w:rsidRPr="00416F4C">
        <w:rPr>
          <w:rFonts w:ascii="Times New Roman" w:hAnsi="Times New Roman"/>
          <w:lang w:val="en-GB"/>
        </w:rPr>
        <w:t>random access</w:t>
      </w:r>
      <w:proofErr w:type="gramEnd"/>
      <w:r w:rsidRPr="00416F4C">
        <w:rPr>
          <w:rFonts w:ascii="Times New Roman" w:hAnsi="Times New Roman"/>
          <w:lang w:val="en-GB"/>
        </w:rPr>
        <w:t xml:space="preserve"> response before this).</w:t>
      </w:r>
    </w:p>
    <w:p w14:paraId="3B9D3126" w14:textId="4051AAEF" w:rsidR="00FF4EE1" w:rsidRPr="00416F4C" w:rsidRDefault="00FF4EE1" w:rsidP="00FF4EE1">
      <w:pPr>
        <w:pStyle w:val="ListParagraph"/>
        <w:numPr>
          <w:ilvl w:val="0"/>
          <w:numId w:val="16"/>
        </w:numPr>
        <w:rPr>
          <w:rFonts w:ascii="Times New Roman" w:hAnsi="Times New Roman"/>
          <w:lang w:val="en-GB"/>
        </w:rPr>
      </w:pPr>
      <w:r w:rsidRPr="00416F4C">
        <w:rPr>
          <w:rFonts w:ascii="Times New Roman" w:hAnsi="Times New Roman"/>
          <w:lang w:val="en-GB"/>
        </w:rPr>
        <w:t>The NPDCCH reference resource is fixed in time (tying it to the actual received NPDCCH would make the definition more cumbersome).</w:t>
      </w:r>
    </w:p>
    <w:p w14:paraId="181773DC" w14:textId="104F1361" w:rsidR="00FF4EE1" w:rsidRPr="00416F4C" w:rsidRDefault="00FF4EE1" w:rsidP="00FF4EE1">
      <w:pPr>
        <w:pStyle w:val="ListParagraph"/>
        <w:numPr>
          <w:ilvl w:val="1"/>
          <w:numId w:val="16"/>
        </w:numPr>
        <w:rPr>
          <w:rFonts w:ascii="Times New Roman" w:hAnsi="Times New Roman"/>
          <w:lang w:val="en-GB"/>
        </w:rPr>
      </w:pPr>
      <w:r w:rsidRPr="00416F4C">
        <w:rPr>
          <w:rFonts w:ascii="Times New Roman" w:hAnsi="Times New Roman"/>
          <w:lang w:val="en-GB"/>
        </w:rPr>
        <w:t>If the NPDCCH reference resource is not fixed in time, the UE may need to continuously compute the DL quality. With this approach, the UE just computes the DL quality once.</w:t>
      </w:r>
    </w:p>
    <w:p w14:paraId="44A71B3F" w14:textId="621213C5" w:rsidR="00FF4EE1" w:rsidRPr="00416F4C" w:rsidRDefault="00FF4EE1" w:rsidP="00FF4EE1">
      <w:pPr>
        <w:pStyle w:val="ListParagraph"/>
        <w:numPr>
          <w:ilvl w:val="0"/>
          <w:numId w:val="16"/>
        </w:numPr>
        <w:rPr>
          <w:rFonts w:ascii="Times New Roman" w:hAnsi="Times New Roman"/>
          <w:lang w:val="en-GB"/>
        </w:rPr>
      </w:pPr>
      <w:r w:rsidRPr="00416F4C">
        <w:rPr>
          <w:rFonts w:ascii="Times New Roman" w:hAnsi="Times New Roman"/>
          <w:lang w:val="en-GB"/>
        </w:rPr>
        <w:t>It doesn’t require the UE to make additional wake-ups to measure.</w:t>
      </w:r>
    </w:p>
    <w:p w14:paraId="6A8D4A60" w14:textId="4C273096" w:rsidR="00FF4EE1" w:rsidRDefault="00FF4EE1" w:rsidP="00FF4EE1">
      <w:pPr>
        <w:rPr>
          <w:lang w:val="en-GB"/>
        </w:rPr>
      </w:pPr>
    </w:p>
    <w:p w14:paraId="167FD8DE" w14:textId="71321248" w:rsidR="00FF4EE1" w:rsidRPr="00FF4EE1" w:rsidRDefault="00FF4EE1" w:rsidP="00FF4EE1">
      <w:pPr>
        <w:rPr>
          <w:lang w:val="en-GB"/>
        </w:rPr>
      </w:pPr>
      <w:r>
        <w:rPr>
          <w:lang w:val="en-GB"/>
        </w:rPr>
        <w:t>The definition of this NPDCCH reference resource is depicted in Figure 1.</w:t>
      </w:r>
    </w:p>
    <w:p w14:paraId="47642D1B" w14:textId="69233D26" w:rsidR="00E826DB" w:rsidRDefault="00E826DB" w:rsidP="00E826DB">
      <w:pPr>
        <w:rPr>
          <w:lang w:val="en-GB"/>
        </w:rPr>
      </w:pPr>
    </w:p>
    <w:p w14:paraId="27C5672B" w14:textId="77777777" w:rsidR="00FF4EE1" w:rsidRDefault="00E826DB" w:rsidP="00FF4EE1">
      <w:pPr>
        <w:keepNext/>
      </w:pPr>
      <w:r w:rsidRPr="00E826DB">
        <w:object w:dxaOrig="13171" w:dyaOrig="3662" w14:anchorId="7C160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9pt;height:142.25pt" o:ole="">
            <v:imagedata r:id="rId12" o:title=""/>
          </v:shape>
          <o:OLEObject Type="Embed" ProgID="Visio.Drawing.11" ShapeID="_x0000_i1025" DrawAspect="Content" ObjectID="_1584543749" r:id="rId13"/>
        </w:object>
      </w:r>
    </w:p>
    <w:p w14:paraId="07EDBA91" w14:textId="26E7B704" w:rsidR="00E826DB" w:rsidRDefault="00FF4EE1" w:rsidP="00FF4EE1">
      <w:pPr>
        <w:pStyle w:val="Caption"/>
        <w:jc w:val="center"/>
        <w:rPr>
          <w:lang w:val="en-GB"/>
        </w:rPr>
      </w:pPr>
      <w:r>
        <w:t xml:space="preserve">Figure </w:t>
      </w:r>
      <w:r w:rsidR="005F100A">
        <w:fldChar w:fldCharType="begin"/>
      </w:r>
      <w:r w:rsidR="005F100A">
        <w:instrText xml:space="preserve"> SEQ Figure \* ARABIC </w:instrText>
      </w:r>
      <w:r w:rsidR="005F100A">
        <w:fldChar w:fldCharType="separate"/>
      </w:r>
      <w:r>
        <w:rPr>
          <w:noProof/>
        </w:rPr>
        <w:t>1</w:t>
      </w:r>
      <w:r w:rsidR="005F100A">
        <w:rPr>
          <w:noProof/>
        </w:rPr>
        <w:fldChar w:fldCharType="end"/>
      </w:r>
      <w:r>
        <w:t xml:space="preserve"> NPDCCH reference resource definition with respect to NPDCCH/NPDSCH/NPUSCH.</w:t>
      </w:r>
    </w:p>
    <w:p w14:paraId="15AAE0CA" w14:textId="77777777" w:rsidR="00E826DB" w:rsidRPr="00E826DB" w:rsidRDefault="00E826DB" w:rsidP="00E826DB">
      <w:pPr>
        <w:rPr>
          <w:lang w:val="en-GB"/>
        </w:rPr>
      </w:pPr>
    </w:p>
    <w:p w14:paraId="5711B304" w14:textId="1AADBA9F" w:rsidR="001849A3" w:rsidRPr="001849A3" w:rsidRDefault="001849A3" w:rsidP="001849A3">
      <w:pPr>
        <w:rPr>
          <w:b/>
          <w:lang w:val="en-GB"/>
        </w:rPr>
      </w:pPr>
      <w:r w:rsidRPr="001849A3">
        <w:rPr>
          <w:b/>
          <w:u w:val="single"/>
          <w:lang w:val="en-GB"/>
        </w:rPr>
        <w:t>Proposal 2:</w:t>
      </w:r>
      <w:r>
        <w:rPr>
          <w:b/>
          <w:lang w:val="en-GB"/>
        </w:rPr>
        <w:t xml:space="preserve"> The ‘NPDCCH reference resource’ is defined as ‘A candidate mapped onto the Type-2 common search space with aggregation level of AL=2 and starting in subframe </w:t>
      </w:r>
      <w:r>
        <w:rPr>
          <w:b/>
          <w:i/>
          <w:lang w:val="en-GB"/>
        </w:rPr>
        <w:t>s</w:t>
      </w:r>
      <w:r>
        <w:rPr>
          <w:b/>
          <w:i/>
          <w:vertAlign w:val="subscript"/>
          <w:lang w:val="en-GB"/>
        </w:rPr>
        <w:t>0</w:t>
      </w:r>
      <w:r>
        <w:rPr>
          <w:b/>
          <w:i/>
          <w:lang w:val="en-GB"/>
        </w:rPr>
        <w:t>”</w:t>
      </w:r>
      <w:r>
        <w:rPr>
          <w:b/>
          <w:lang w:val="en-GB"/>
        </w:rPr>
        <w:t xml:space="preserve"> </w:t>
      </w:r>
    </w:p>
    <w:p w14:paraId="59FB3432" w14:textId="753D9FF0" w:rsidR="001849A3" w:rsidRDefault="001849A3" w:rsidP="00151482">
      <w:pPr>
        <w:rPr>
          <w:b/>
          <w:lang w:val="en-GB"/>
        </w:rPr>
      </w:pPr>
    </w:p>
    <w:p w14:paraId="582D9F6A" w14:textId="22A171C8" w:rsidR="001849A3" w:rsidRDefault="001849A3" w:rsidP="00151482">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w:t>
      </w:r>
      <w:r w:rsidR="00A263AB">
        <w:rPr>
          <w:b/>
          <w:lang w:val="en-GB"/>
        </w:rPr>
        <w:t xml:space="preserve">first subframe of the first candidate </w:t>
      </w:r>
      <w:r>
        <w:rPr>
          <w:b/>
          <w:lang w:val="en-GB"/>
        </w:rPr>
        <w:t xml:space="preserve">of the first Type-2 search space in the </w:t>
      </w:r>
      <w:proofErr w:type="gramStart"/>
      <w:r>
        <w:rPr>
          <w:b/>
          <w:lang w:val="en-GB"/>
        </w:rPr>
        <w:t>random access</w:t>
      </w:r>
      <w:proofErr w:type="gramEnd"/>
      <w:r>
        <w:rPr>
          <w:b/>
          <w:lang w:val="en-GB"/>
        </w:rPr>
        <w:t xml:space="preserve"> response window of the current random access attempt.</w:t>
      </w:r>
    </w:p>
    <w:p w14:paraId="412F9557" w14:textId="598104AB" w:rsidR="00FF4EE1" w:rsidRDefault="00FF4EE1" w:rsidP="00151482">
      <w:pPr>
        <w:rPr>
          <w:b/>
          <w:lang w:val="en-GB"/>
        </w:rPr>
      </w:pPr>
    </w:p>
    <w:p w14:paraId="459CFAB3" w14:textId="5FDB2981" w:rsidR="00FF4EE1" w:rsidRPr="00175C8B" w:rsidRDefault="00175C8B" w:rsidP="00151482">
      <w:pPr>
        <w:rPr>
          <w:lang w:val="en-GB"/>
        </w:rPr>
      </w:pPr>
      <w:r w:rsidRPr="00175C8B">
        <w:rPr>
          <w:lang w:val="en-GB"/>
        </w:rPr>
        <w:t xml:space="preserve">On the </w:t>
      </w:r>
      <w:r>
        <w:rPr>
          <w:lang w:val="en-GB"/>
        </w:rPr>
        <w:t>subframes used for measurement, there is no reason to restrict these, and it should be left to UE implementation. Note that the UE is aware of which subframes contain NRS and which ones do not, the UE will only use NRS when it is present. This being said, it is not desirable to force the UE to wake up additional times just for the sake of having a more accurate quality report, and RAN4 requirements should take this into account. Also, the case where NPDCCH is early terminated and the UE goes to sleep before the entire duration should be taken into account when defining this requirement.</w:t>
      </w:r>
    </w:p>
    <w:p w14:paraId="5A9AB6D9" w14:textId="7C659339" w:rsidR="001849A3" w:rsidRDefault="001849A3" w:rsidP="00151482">
      <w:pPr>
        <w:rPr>
          <w:b/>
          <w:lang w:val="en-GB"/>
        </w:rPr>
      </w:pPr>
    </w:p>
    <w:p w14:paraId="5FCDE8B1" w14:textId="37672D6D" w:rsidR="001849A3" w:rsidRDefault="001849A3" w:rsidP="00151482">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w:t>
      </w:r>
      <w:r w:rsidR="00712DEE">
        <w:rPr>
          <w:b/>
          <w:lang w:val="en-GB"/>
        </w:rPr>
        <w:t>is</w:t>
      </w:r>
      <w:proofErr w:type="gramEnd"/>
      <w:r w:rsidR="00712DEE">
        <w:rPr>
          <w:b/>
          <w:lang w:val="en-GB"/>
        </w:rPr>
        <w:t xml:space="preserve"> based on “an </w:t>
      </w:r>
      <w:r w:rsidR="00712DEE" w:rsidRPr="00712DEE">
        <w:rPr>
          <w:b/>
          <w:lang w:val="en-GB"/>
        </w:rPr>
        <w:t>unrestricted observation interval in time, and an unrestricted observation interval in frequency</w:t>
      </w:r>
      <w:r w:rsidR="00712DEE">
        <w:rPr>
          <w:b/>
          <w:lang w:val="en-GB"/>
        </w:rPr>
        <w:t>”.</w:t>
      </w:r>
    </w:p>
    <w:p w14:paraId="0C468179" w14:textId="4356DCA1" w:rsidR="00712DEE" w:rsidRDefault="00712DEE" w:rsidP="00175C8B">
      <w:pPr>
        <w:ind w:left="288"/>
        <w:rPr>
          <w:b/>
          <w:lang w:val="en-GB"/>
        </w:rPr>
      </w:pPr>
      <w:r>
        <w:rPr>
          <w:b/>
          <w:lang w:val="en-GB"/>
        </w:rPr>
        <w:t xml:space="preserve">- </w:t>
      </w:r>
      <w:r w:rsidR="006010BD">
        <w:rPr>
          <w:b/>
          <w:lang w:val="en-GB"/>
        </w:rPr>
        <w:t xml:space="preserve">When defining the accuracy requirements for the DL quality report, </w:t>
      </w:r>
      <w:r>
        <w:rPr>
          <w:b/>
          <w:lang w:val="en-GB"/>
        </w:rPr>
        <w:t>RAN4 to take into account the availability of NRS in non-anchor carriers, as well as the UE power consumption</w:t>
      </w:r>
      <w:r w:rsidR="006010BD">
        <w:rPr>
          <w:b/>
          <w:lang w:val="en-GB"/>
        </w:rPr>
        <w:t xml:space="preserve"> resulting from measuring additional NRS subframes</w:t>
      </w:r>
      <w:r w:rsidR="00175C8B">
        <w:rPr>
          <w:b/>
          <w:lang w:val="en-GB"/>
        </w:rPr>
        <w:t xml:space="preserve"> (including the case of NPDCCH early termination)</w:t>
      </w:r>
      <w:r w:rsidR="006010BD">
        <w:rPr>
          <w:b/>
          <w:lang w:val="en-GB"/>
        </w:rPr>
        <w:t>.</w:t>
      </w:r>
    </w:p>
    <w:p w14:paraId="72DDA977" w14:textId="3CBB3005" w:rsidR="001849A3" w:rsidRDefault="001849A3" w:rsidP="00151482">
      <w:pPr>
        <w:rPr>
          <w:b/>
          <w:lang w:val="en-GB"/>
        </w:rPr>
      </w:pPr>
    </w:p>
    <w:p w14:paraId="228EE23A" w14:textId="04F3BE9C" w:rsidR="001849A3" w:rsidRDefault="001849A3" w:rsidP="001849A3">
      <w:pPr>
        <w:pStyle w:val="Heading1"/>
      </w:pPr>
      <w:r>
        <w:t xml:space="preserve">Possible set of values for </w:t>
      </w:r>
      <w:bookmarkStart w:id="3" w:name="_Hlk510687731"/>
      <w:proofErr w:type="spellStart"/>
      <w:r w:rsidRPr="001849A3">
        <w:t>R</w:t>
      </w:r>
      <w:r w:rsidRPr="001849A3">
        <w:rPr>
          <w:vertAlign w:val="subscript"/>
        </w:rPr>
        <w:t>desired</w:t>
      </w:r>
      <w:bookmarkEnd w:id="3"/>
      <w:proofErr w:type="spellEnd"/>
    </w:p>
    <w:p w14:paraId="431BF6CC" w14:textId="272FB0FD" w:rsidR="001849A3" w:rsidRDefault="00175C8B" w:rsidP="001849A3">
      <w:pPr>
        <w:rPr>
          <w:lang w:val="en-GB"/>
        </w:rPr>
      </w:pPr>
      <w:r>
        <w:rPr>
          <w:lang w:val="en-GB"/>
        </w:rPr>
        <w:t>The current specification defines as follows the maximum number of repetitions for random access:</w:t>
      </w:r>
    </w:p>
    <w:p w14:paraId="6BA59207" w14:textId="48C66E63" w:rsidR="00A263AB" w:rsidRDefault="00A263AB" w:rsidP="001849A3">
      <w:pPr>
        <w:rPr>
          <w:lang w:val="en-GB"/>
        </w:rPr>
      </w:pPr>
      <w:r w:rsidRPr="00A263AB">
        <w:rPr>
          <w:noProof/>
          <w:lang w:val="en-GB"/>
        </w:rPr>
        <mc:AlternateContent>
          <mc:Choice Requires="wps">
            <w:drawing>
              <wp:inline distT="0" distB="0" distL="0" distR="0" wp14:anchorId="7F85B35D" wp14:editId="3708E1CD">
                <wp:extent cx="6371772" cy="827315"/>
                <wp:effectExtent l="0" t="0" r="1016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772" cy="827315"/>
                        </a:xfrm>
                        <a:prstGeom prst="rect">
                          <a:avLst/>
                        </a:prstGeom>
                        <a:solidFill>
                          <a:schemeClr val="bg2">
                            <a:lumMod val="90000"/>
                          </a:schemeClr>
                        </a:solidFill>
                        <a:ln w="9525">
                          <a:solidFill>
                            <a:srgbClr val="000000"/>
                          </a:solidFill>
                          <a:miter lim="800000"/>
                          <a:headEnd/>
                          <a:tailEnd/>
                        </a:ln>
                      </wps:spPr>
                      <wps:txb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wps:txbx>
                      <wps:bodyPr rot="0" vert="horz" wrap="square" lIns="91440" tIns="45720" rIns="91440" bIns="45720" anchor="t" anchorCtr="0">
                        <a:noAutofit/>
                      </wps:bodyPr>
                    </wps:wsp>
                  </a:graphicData>
                </a:graphic>
              </wp:inline>
            </w:drawing>
          </mc:Choice>
          <mc:Fallback>
            <w:pict>
              <v:shape w14:anchorId="7F85B35D" id="_x0000_s1027" type="#_x0000_t202" style="width:501.7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PcOgIAAG4EAAAOAAAAZHJzL2Uyb0RvYy54bWysVNtu2zAMfR+wfxD0vjh2k6Yx4hRdug4D&#10;ugvQ7gNkWbaFSaInKbG7ry8lu6m3vQ3zgyCK1BF5Dund9aAVOQnrJJiCposlJcJwqKRpCvr98e7d&#10;FSXOM1MxBUYU9Ek4er1/+2bXd7nIoAVVCUsQxLi87wraet/lSeJ4KzRzC+iEQWcNVjOPpm2SyrIe&#10;0bVKsuXyMunBVp0FLpzD09vRSfcRv64F91/r2glPVEExNx9XG9cyrMl+x/LGsq6VfEqD/UMWmkmD&#10;j56hbpln5GjlX1BacgsOar/goBOoa8lFrAGrSZd/VPPQsk7EWpAc151pcv8Pln85fbNEVqgdJYZp&#10;lOhRDJ68h4FkgZ2+czkGPXQY5gc8DpGhUtfdA//hiIFDy0wjbqyFvhWswuzScDOZXR1xXAAp+89Q&#10;4TPs6CECDbXVARDJIIiOKj2dlQmpcDy8vNikm01GCUffVba5SNfxCZa/3O6s8x8FaBI2BbWofERn&#10;p3vnQzYsfwmJ2YOS1Z1UKhqh28RBWXJi2Cdlk8Wr6qgx1fFsu8RvejI2ZwiPqG6OpAzpC7pdZ+uI&#10;8JvP2aY8vxHgXgHnEFp6nAglNRZ6DmJ5YPaDqWK/eibVuMeqlJmoDuyOPPuhHCZNJwVLqJ6Qewvj&#10;AODA4qYF+4uSHpu/oO7nkVlBifpkUL9tulqFaYnGar3J0LBzTzn3MMMRqqCeknF78HHCArUGblDn&#10;WkYJQkOMmUwpY1NHDqcBDFMzt2PU629i/wwAAP//AwBQSwMEFAAGAAgAAAAhALyGitncAAAABgEA&#10;AA8AAABkcnMvZG93bnJldi54bWxMj0FLw0AQhe+C/2EZwYvYXRsRidkULXjwJLYF8TbNTpPQ7GzI&#10;btror3fqxV6GN7zhvW+KxeQ7daAhtoEt3M0MKOIquJZrC5v16+0jqJiQHXaBycI3RViUlxcF5i4c&#10;+YMOq1QrCeGYo4UmpT7XOlYNeYyz0BOLtwuDxyTrUGs34FHCfafnxjxojy1LQ4M9LRuq9qvRW1i/&#10;7L/qm+h/PseNqd7f5rtsOWlrr6+m5ydQiab0fwwnfEGHUpi2YWQXVWdBHkl/8+QZk92D2orKTAa6&#10;LPQ5fvkLAAD//wMAUEsBAi0AFAAGAAgAAAAhALaDOJL+AAAA4QEAABMAAAAAAAAAAAAAAAAAAAAA&#10;AFtDb250ZW50X1R5cGVzXS54bWxQSwECLQAUAAYACAAAACEAOP0h/9YAAACUAQAACwAAAAAAAAAA&#10;AAAAAAAvAQAAX3JlbHMvLnJlbHNQSwECLQAUAAYACAAAACEARG+j3DoCAABuBAAADgAAAAAAAAAA&#10;AAAAAAAuAgAAZHJzL2Uyb0RvYy54bWxQSwECLQAUAAYACAAAACEAvIaK2dwAAAAGAQAADwAAAAAA&#10;AAAAAAAAAACUBAAAZHJzL2Rvd25yZXYueG1sUEsFBgAAAAAEAAQA8wAAAJ0FAAAAAA==&#10;" fillcolor="#cfcdcd [2894]">
                <v:textbo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v:textbox>
                <w10:anchorlock/>
              </v:shape>
            </w:pict>
          </mc:Fallback>
        </mc:AlternateContent>
      </w:r>
    </w:p>
    <w:p w14:paraId="070BA794" w14:textId="0AFE69D2" w:rsidR="00175C8B" w:rsidRPr="00175C8B" w:rsidRDefault="00175C8B" w:rsidP="001849A3">
      <w:r>
        <w:t xml:space="preserve">In total, 12 values are allowed. Thus, if we want to have a complete representation of the desired number of repetitions </w:t>
      </w:r>
      <w:proofErr w:type="spellStart"/>
      <w:r w:rsidRPr="00175C8B">
        <w:rPr>
          <w:lang w:val="en-GB"/>
        </w:rPr>
        <w:t>R</w:t>
      </w:r>
      <w:r w:rsidRPr="00175C8B">
        <w:rPr>
          <w:vertAlign w:val="subscript"/>
          <w:lang w:val="en-GB"/>
        </w:rPr>
        <w:t>desired</w:t>
      </w:r>
      <w:proofErr w:type="spellEnd"/>
      <w:r>
        <w:rPr>
          <w:b/>
          <w:vertAlign w:val="subscript"/>
          <w:lang w:val="en-GB"/>
        </w:rPr>
        <w:t xml:space="preserve"> </w:t>
      </w:r>
      <w:r>
        <w:t>we would need to reserve 4 bits in msg3, which seems excessive.</w:t>
      </w:r>
    </w:p>
    <w:p w14:paraId="4B8DBF66" w14:textId="12C8FE8B" w:rsidR="001849A3" w:rsidRDefault="001849A3" w:rsidP="001849A3">
      <w:pPr>
        <w:rPr>
          <w:b/>
          <w:lang w:val="en-GB"/>
        </w:rPr>
      </w:pPr>
      <w:r w:rsidRPr="001849A3">
        <w:rPr>
          <w:b/>
          <w:u w:val="single"/>
          <w:lang w:val="en-GB"/>
        </w:rPr>
        <w:t>Observation 1:</w:t>
      </w:r>
      <w:r>
        <w:rPr>
          <w:b/>
          <w:lang w:val="en-GB"/>
        </w:rPr>
        <w:t xml:space="preserve"> Reporting all the possible values of </w:t>
      </w:r>
      <w:proofErr w:type="spellStart"/>
      <w:r>
        <w:rPr>
          <w:b/>
          <w:lang w:val="en-GB"/>
        </w:rPr>
        <w:t>R</w:t>
      </w:r>
      <w:r>
        <w:rPr>
          <w:b/>
          <w:vertAlign w:val="subscript"/>
          <w:lang w:val="en-GB"/>
        </w:rPr>
        <w:t>desired</w:t>
      </w:r>
      <w:proofErr w:type="spellEnd"/>
      <w:r>
        <w:rPr>
          <w:b/>
          <w:lang w:val="en-GB"/>
        </w:rPr>
        <w:t xml:space="preserve"> re</w:t>
      </w:r>
      <w:r w:rsidR="00175C8B">
        <w:rPr>
          <w:b/>
          <w:lang w:val="en-GB"/>
        </w:rPr>
        <w:t>quires 4 bits in msg3</w:t>
      </w:r>
      <w:r>
        <w:rPr>
          <w:b/>
          <w:lang w:val="en-GB"/>
        </w:rPr>
        <w:t>.</w:t>
      </w:r>
    </w:p>
    <w:p w14:paraId="6A98CEE5" w14:textId="2F1ACEC6" w:rsidR="001849A3" w:rsidRPr="00175C8B" w:rsidRDefault="00175C8B" w:rsidP="001849A3">
      <w:pPr>
        <w:rPr>
          <w:lang w:val="en-GB"/>
        </w:rPr>
      </w:pPr>
      <w:r w:rsidRPr="00175C8B">
        <w:rPr>
          <w:lang w:val="en-GB"/>
        </w:rPr>
        <w:t xml:space="preserve">One </w:t>
      </w:r>
      <w:r>
        <w:rPr>
          <w:lang w:val="en-GB"/>
        </w:rPr>
        <w:t xml:space="preserve">observation is that, for a given coverage level, it is extremely unlikely that the UE will report a value of </w:t>
      </w:r>
      <w:proofErr w:type="spellStart"/>
      <w:r>
        <w:rPr>
          <w:lang w:val="en-GB"/>
        </w:rPr>
        <w:t>R</w:t>
      </w:r>
      <w:r>
        <w:rPr>
          <w:vertAlign w:val="subscript"/>
          <w:lang w:val="en-GB"/>
        </w:rPr>
        <w:t>desired</w:t>
      </w:r>
      <w:proofErr w:type="spellEnd"/>
      <w:r>
        <w:rPr>
          <w:lang w:val="en-GB"/>
        </w:rPr>
        <w:t xml:space="preserve"> that is several orders of magnitude larger/smaller than the configured </w:t>
      </w:r>
      <w:proofErr w:type="spellStart"/>
      <w:r>
        <w:rPr>
          <w:lang w:val="en-GB"/>
        </w:rPr>
        <w:t>R</w:t>
      </w:r>
      <w:r w:rsidRPr="00175C8B">
        <w:rPr>
          <w:vertAlign w:val="subscript"/>
          <w:lang w:val="en-GB"/>
        </w:rPr>
        <w:t>max</w:t>
      </w:r>
      <w:proofErr w:type="spellEnd"/>
      <w:r>
        <w:rPr>
          <w:vertAlign w:val="subscript"/>
          <w:lang w:val="en-GB"/>
        </w:rPr>
        <w:t xml:space="preserve"> </w:t>
      </w:r>
      <w:r>
        <w:rPr>
          <w:lang w:val="en-GB"/>
        </w:rPr>
        <w:t xml:space="preserve">for the corresponding coverage level. For example, consider the simple case of </w:t>
      </w:r>
      <w:proofErr w:type="spellStart"/>
      <w:r>
        <w:rPr>
          <w:lang w:val="en-GB"/>
        </w:rPr>
        <w:t>R</w:t>
      </w:r>
      <w:r>
        <w:rPr>
          <w:vertAlign w:val="subscript"/>
          <w:lang w:val="en-GB"/>
        </w:rPr>
        <w:t>max</w:t>
      </w:r>
      <w:proofErr w:type="spellEnd"/>
      <w:r>
        <w:rPr>
          <w:lang w:val="en-GB"/>
        </w:rPr>
        <w:t xml:space="preserve"> = 1. Then, it is very unlikely that the UE reports 2048 repetitions. </w:t>
      </w:r>
    </w:p>
    <w:p w14:paraId="7B4F225D" w14:textId="327B5660" w:rsidR="001849A3" w:rsidRDefault="001849A3" w:rsidP="001849A3">
      <w:pPr>
        <w:rPr>
          <w:b/>
          <w:lang w:val="en-GB"/>
        </w:rPr>
      </w:pPr>
      <w:r w:rsidRPr="001849A3">
        <w:rPr>
          <w:b/>
          <w:u w:val="single"/>
          <w:lang w:val="en-GB"/>
        </w:rPr>
        <w:t xml:space="preserve">Observation </w:t>
      </w:r>
      <w:r>
        <w:rPr>
          <w:b/>
          <w:u w:val="single"/>
          <w:lang w:val="en-GB"/>
        </w:rPr>
        <w:t>2</w:t>
      </w:r>
      <w:r w:rsidRPr="001849A3">
        <w:rPr>
          <w:b/>
          <w:u w:val="single"/>
          <w:lang w:val="en-GB"/>
        </w:rPr>
        <w:t>:</w:t>
      </w:r>
      <w:r>
        <w:rPr>
          <w:b/>
          <w:lang w:val="en-GB"/>
        </w:rPr>
        <w:t xml:space="preserve"> For a given coverage level, the expected set of </w:t>
      </w:r>
      <w:proofErr w:type="spellStart"/>
      <w:r>
        <w:rPr>
          <w:b/>
          <w:lang w:val="en-GB"/>
        </w:rPr>
        <w:t>R</w:t>
      </w:r>
      <w:r>
        <w:rPr>
          <w:b/>
          <w:vertAlign w:val="subscript"/>
          <w:lang w:val="en-GB"/>
        </w:rPr>
        <w:t>desired</w:t>
      </w:r>
      <w:proofErr w:type="spellEnd"/>
      <w:r>
        <w:rPr>
          <w:b/>
          <w:vertAlign w:val="subscript"/>
          <w:lang w:val="en-GB"/>
        </w:rPr>
        <w:t xml:space="preserve"> </w:t>
      </w:r>
      <w:r>
        <w:rPr>
          <w:b/>
          <w:lang w:val="en-GB"/>
        </w:rPr>
        <w:t>should be much smaller than the complete set of R.</w:t>
      </w:r>
    </w:p>
    <w:p w14:paraId="40AD6F8D" w14:textId="4B9EF20A" w:rsidR="00175C8B" w:rsidRPr="00175C8B" w:rsidRDefault="00175C8B" w:rsidP="001849A3">
      <w:pPr>
        <w:rPr>
          <w:b/>
          <w:lang w:val="en-GB"/>
        </w:rPr>
      </w:pPr>
      <w:r>
        <w:rPr>
          <w:lang w:val="en-GB"/>
        </w:rPr>
        <w:t xml:space="preserve">Thus, we propose to link the set of candidates of </w:t>
      </w:r>
      <w:proofErr w:type="spellStart"/>
      <w:r>
        <w:rPr>
          <w:lang w:val="en-GB"/>
        </w:rPr>
        <w:t>R</w:t>
      </w:r>
      <w:r>
        <w:rPr>
          <w:vertAlign w:val="subscript"/>
          <w:lang w:val="en-GB"/>
        </w:rPr>
        <w:t>desired</w:t>
      </w:r>
      <w:proofErr w:type="spellEnd"/>
      <w:r>
        <w:rPr>
          <w:lang w:val="en-GB"/>
        </w:rPr>
        <w:t xml:space="preserve"> to the configure maximum number of repetitions for NPDCCH for the corresponding coverage level. One example table </w:t>
      </w:r>
      <w:r w:rsidR="00A263AB">
        <w:rPr>
          <w:lang w:val="en-GB"/>
        </w:rPr>
        <w:t xml:space="preserve">is shown below for the case of </w:t>
      </w:r>
      <w:proofErr w:type="gramStart"/>
      <w:r w:rsidR="00A263AB">
        <w:rPr>
          <w:lang w:val="en-GB"/>
        </w:rPr>
        <w:t>2 bit</w:t>
      </w:r>
      <w:proofErr w:type="gramEnd"/>
      <w:r w:rsidR="00A263AB">
        <w:rPr>
          <w:lang w:val="en-GB"/>
        </w:rPr>
        <w:t xml:space="preserve"> reporting.</w:t>
      </w:r>
    </w:p>
    <w:p w14:paraId="46CCF3C7" w14:textId="13CD0989" w:rsidR="00A263AB" w:rsidRDefault="00A263AB" w:rsidP="00A263AB">
      <w:pPr>
        <w:pStyle w:val="Caption"/>
        <w:keepNext/>
        <w:jc w:val="center"/>
      </w:pPr>
      <w:r>
        <w:t xml:space="preserve">Table </w:t>
      </w:r>
      <w:r w:rsidR="005F100A">
        <w:fldChar w:fldCharType="begin"/>
      </w:r>
      <w:r w:rsidR="005F100A">
        <w:instrText xml:space="preserve"> SEQ Table \* ARABIC </w:instrText>
      </w:r>
      <w:r w:rsidR="005F100A">
        <w:fldChar w:fldCharType="separate"/>
      </w:r>
      <w:r>
        <w:rPr>
          <w:noProof/>
        </w:rPr>
        <w:t>1</w:t>
      </w:r>
      <w:r w:rsidR="005F100A">
        <w:rPr>
          <w:noProof/>
        </w:rPr>
        <w:fldChar w:fldCharType="end"/>
      </w:r>
      <w:r>
        <w:t xml:space="preserve"> Example set of candidates for </w:t>
      </w:r>
      <w:proofErr w:type="spellStart"/>
      <w:r>
        <w:rPr>
          <w:lang w:val="en-GB"/>
        </w:rPr>
        <w:t>R</w:t>
      </w:r>
      <w:r>
        <w:rPr>
          <w:vertAlign w:val="subscript"/>
          <w:lang w:val="en-GB"/>
        </w:rPr>
        <w:t>desired</w:t>
      </w:r>
      <w:proofErr w:type="spellEnd"/>
      <w:r>
        <w:rPr>
          <w:vertAlign w:val="subscript"/>
          <w:lang w:val="en-GB"/>
        </w:rPr>
        <w:t xml:space="preserve"> </w:t>
      </w:r>
      <w:r>
        <w:rPr>
          <w:lang w:val="en-GB"/>
        </w:rPr>
        <w:t xml:space="preserve">for the case of </w:t>
      </w:r>
      <w:proofErr w:type="gramStart"/>
      <w:r>
        <w:rPr>
          <w:lang w:val="en-GB"/>
        </w:rPr>
        <w:t>2 bit</w:t>
      </w:r>
      <w:proofErr w:type="gramEnd"/>
      <w:r>
        <w:rPr>
          <w:lang w:val="en-GB"/>
        </w:rPr>
        <w:t xml:space="preserve"> reporting (‘00’ means not supported)</w:t>
      </w:r>
    </w:p>
    <w:tbl>
      <w:tblPr>
        <w:tblStyle w:val="PlainTable11"/>
        <w:tblW w:w="0" w:type="auto"/>
        <w:jc w:val="center"/>
        <w:tblLook w:val="04A0" w:firstRow="1" w:lastRow="0" w:firstColumn="1" w:lastColumn="0" w:noHBand="0" w:noVBand="1"/>
      </w:tblPr>
      <w:tblGrid>
        <w:gridCol w:w="728"/>
        <w:gridCol w:w="316"/>
        <w:gridCol w:w="316"/>
        <w:gridCol w:w="316"/>
        <w:gridCol w:w="416"/>
        <w:gridCol w:w="416"/>
        <w:gridCol w:w="416"/>
        <w:gridCol w:w="516"/>
        <w:gridCol w:w="516"/>
        <w:gridCol w:w="516"/>
        <w:gridCol w:w="616"/>
        <w:gridCol w:w="616"/>
        <w:gridCol w:w="616"/>
      </w:tblGrid>
      <w:tr w:rsidR="00A263AB" w:rsidRPr="00A263AB" w14:paraId="4DCAAF85" w14:textId="77777777" w:rsidTr="00A263AB">
        <w:trPr>
          <w:cnfStyle w:val="100000000000" w:firstRow="1" w:lastRow="0" w:firstColumn="0" w:lastColumn="0" w:oddVBand="0" w:evenVBand="0" w:oddHBand="0"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9C3038B" w14:textId="77777777" w:rsidR="00A263AB" w:rsidRPr="00A263AB" w:rsidRDefault="00A263AB" w:rsidP="00A263AB">
            <w:proofErr w:type="spellStart"/>
            <w:r w:rsidRPr="00A263AB">
              <w:t>Rmax</w:t>
            </w:r>
            <w:proofErr w:type="spellEnd"/>
          </w:p>
        </w:tc>
        <w:tc>
          <w:tcPr>
            <w:tcW w:w="0" w:type="auto"/>
            <w:hideMark/>
          </w:tcPr>
          <w:p w14:paraId="796BD8AA"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w:t>
            </w:r>
          </w:p>
        </w:tc>
        <w:tc>
          <w:tcPr>
            <w:tcW w:w="0" w:type="auto"/>
            <w:hideMark/>
          </w:tcPr>
          <w:p w14:paraId="3963FB8D"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2</w:t>
            </w:r>
          </w:p>
        </w:tc>
        <w:tc>
          <w:tcPr>
            <w:tcW w:w="0" w:type="auto"/>
            <w:hideMark/>
          </w:tcPr>
          <w:p w14:paraId="4BB62B8F"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4</w:t>
            </w:r>
          </w:p>
        </w:tc>
        <w:tc>
          <w:tcPr>
            <w:tcW w:w="0" w:type="auto"/>
            <w:hideMark/>
          </w:tcPr>
          <w:p w14:paraId="26B1F6E6"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8</w:t>
            </w:r>
          </w:p>
        </w:tc>
        <w:tc>
          <w:tcPr>
            <w:tcW w:w="0" w:type="auto"/>
            <w:hideMark/>
          </w:tcPr>
          <w:p w14:paraId="1459A941"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16</w:t>
            </w:r>
          </w:p>
        </w:tc>
        <w:tc>
          <w:tcPr>
            <w:tcW w:w="0" w:type="auto"/>
            <w:hideMark/>
          </w:tcPr>
          <w:p w14:paraId="4EBED1F8"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32</w:t>
            </w:r>
          </w:p>
        </w:tc>
        <w:tc>
          <w:tcPr>
            <w:tcW w:w="0" w:type="auto"/>
            <w:hideMark/>
          </w:tcPr>
          <w:p w14:paraId="0989E925"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64</w:t>
            </w:r>
          </w:p>
        </w:tc>
        <w:tc>
          <w:tcPr>
            <w:tcW w:w="0" w:type="auto"/>
            <w:hideMark/>
          </w:tcPr>
          <w:p w14:paraId="0AC1DFF3"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128</w:t>
            </w:r>
          </w:p>
        </w:tc>
        <w:tc>
          <w:tcPr>
            <w:tcW w:w="0" w:type="auto"/>
            <w:hideMark/>
          </w:tcPr>
          <w:p w14:paraId="4AB926E6"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256</w:t>
            </w:r>
          </w:p>
        </w:tc>
        <w:tc>
          <w:tcPr>
            <w:tcW w:w="0" w:type="auto"/>
            <w:hideMark/>
          </w:tcPr>
          <w:p w14:paraId="3C16132E"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512</w:t>
            </w:r>
          </w:p>
        </w:tc>
        <w:tc>
          <w:tcPr>
            <w:tcW w:w="0" w:type="auto"/>
            <w:hideMark/>
          </w:tcPr>
          <w:p w14:paraId="35EAAC72"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1024</w:t>
            </w:r>
          </w:p>
        </w:tc>
        <w:tc>
          <w:tcPr>
            <w:tcW w:w="0" w:type="auto"/>
            <w:hideMark/>
          </w:tcPr>
          <w:p w14:paraId="06E65800"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2048</w:t>
            </w:r>
          </w:p>
        </w:tc>
      </w:tr>
      <w:tr w:rsidR="00A263AB" w:rsidRPr="00A263AB" w14:paraId="5C3C60A8"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3BC7201" w14:textId="77777777" w:rsidR="00A263AB" w:rsidRPr="00A263AB" w:rsidRDefault="00A263AB" w:rsidP="00A263AB">
            <w:r w:rsidRPr="00A263AB">
              <w:t>‘01’</w:t>
            </w:r>
          </w:p>
        </w:tc>
        <w:tc>
          <w:tcPr>
            <w:tcW w:w="0" w:type="auto"/>
            <w:hideMark/>
          </w:tcPr>
          <w:p w14:paraId="1F6E97C3"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70C0D001"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2FF8B11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w:t>
            </w:r>
          </w:p>
        </w:tc>
        <w:tc>
          <w:tcPr>
            <w:tcW w:w="0" w:type="auto"/>
            <w:hideMark/>
          </w:tcPr>
          <w:p w14:paraId="72AED3EF"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38057F72"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45F70990"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3136A84A"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8E2E398"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342075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128</w:t>
            </w:r>
          </w:p>
        </w:tc>
        <w:tc>
          <w:tcPr>
            <w:tcW w:w="0" w:type="auto"/>
            <w:hideMark/>
          </w:tcPr>
          <w:p w14:paraId="2720C5F6"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256</w:t>
            </w:r>
          </w:p>
        </w:tc>
        <w:tc>
          <w:tcPr>
            <w:tcW w:w="0" w:type="auto"/>
            <w:hideMark/>
          </w:tcPr>
          <w:p w14:paraId="2F57460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512</w:t>
            </w:r>
          </w:p>
        </w:tc>
        <w:tc>
          <w:tcPr>
            <w:tcW w:w="0" w:type="auto"/>
            <w:hideMark/>
          </w:tcPr>
          <w:p w14:paraId="42268EAD"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512</w:t>
            </w:r>
          </w:p>
        </w:tc>
      </w:tr>
      <w:tr w:rsidR="00A263AB" w:rsidRPr="00A263AB" w14:paraId="2C24D57E" w14:textId="77777777" w:rsidTr="00A263AB">
        <w:trPr>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354F6C2" w14:textId="77777777" w:rsidR="00A263AB" w:rsidRPr="00A263AB" w:rsidRDefault="00A263AB" w:rsidP="00A263AB">
            <w:r w:rsidRPr="00A263AB">
              <w:t>‘10’</w:t>
            </w:r>
          </w:p>
        </w:tc>
        <w:tc>
          <w:tcPr>
            <w:tcW w:w="0" w:type="auto"/>
            <w:hideMark/>
          </w:tcPr>
          <w:p w14:paraId="3D8B2F44"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1FA125C9"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043360F2"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4</w:t>
            </w:r>
          </w:p>
        </w:tc>
        <w:tc>
          <w:tcPr>
            <w:tcW w:w="0" w:type="auto"/>
            <w:hideMark/>
          </w:tcPr>
          <w:p w14:paraId="421ADDFC"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8</w:t>
            </w:r>
          </w:p>
        </w:tc>
        <w:tc>
          <w:tcPr>
            <w:tcW w:w="0" w:type="auto"/>
            <w:hideMark/>
          </w:tcPr>
          <w:p w14:paraId="1BC2DD9F"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16</w:t>
            </w:r>
          </w:p>
        </w:tc>
        <w:tc>
          <w:tcPr>
            <w:tcW w:w="0" w:type="auto"/>
            <w:hideMark/>
          </w:tcPr>
          <w:p w14:paraId="1DBCE4C5"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32</w:t>
            </w:r>
          </w:p>
        </w:tc>
        <w:tc>
          <w:tcPr>
            <w:tcW w:w="0" w:type="auto"/>
            <w:hideMark/>
          </w:tcPr>
          <w:p w14:paraId="72A12265"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64</w:t>
            </w:r>
          </w:p>
        </w:tc>
        <w:tc>
          <w:tcPr>
            <w:tcW w:w="0" w:type="auto"/>
            <w:hideMark/>
          </w:tcPr>
          <w:p w14:paraId="2AB16BD0"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128</w:t>
            </w:r>
          </w:p>
        </w:tc>
        <w:tc>
          <w:tcPr>
            <w:tcW w:w="0" w:type="auto"/>
            <w:hideMark/>
          </w:tcPr>
          <w:p w14:paraId="7381CC6C"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256</w:t>
            </w:r>
          </w:p>
        </w:tc>
        <w:tc>
          <w:tcPr>
            <w:tcW w:w="0" w:type="auto"/>
            <w:hideMark/>
          </w:tcPr>
          <w:p w14:paraId="558C3E79"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512</w:t>
            </w:r>
          </w:p>
        </w:tc>
        <w:tc>
          <w:tcPr>
            <w:tcW w:w="0" w:type="auto"/>
            <w:hideMark/>
          </w:tcPr>
          <w:p w14:paraId="00458FE3"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1024</w:t>
            </w:r>
          </w:p>
        </w:tc>
        <w:tc>
          <w:tcPr>
            <w:tcW w:w="0" w:type="auto"/>
            <w:hideMark/>
          </w:tcPr>
          <w:p w14:paraId="07ADA879"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1024</w:t>
            </w:r>
          </w:p>
        </w:tc>
      </w:tr>
      <w:tr w:rsidR="00A263AB" w:rsidRPr="00A263AB" w14:paraId="23DACCFF"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C1F1915" w14:textId="77777777" w:rsidR="00A263AB" w:rsidRPr="00A263AB" w:rsidRDefault="00A263AB" w:rsidP="00A263AB">
            <w:r w:rsidRPr="00A263AB">
              <w:t>‘11’</w:t>
            </w:r>
          </w:p>
        </w:tc>
        <w:tc>
          <w:tcPr>
            <w:tcW w:w="0" w:type="auto"/>
            <w:hideMark/>
          </w:tcPr>
          <w:p w14:paraId="70120ECF"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7FCF0B07"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44E6FC76"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6C700A83"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21504704"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FC12F02"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1352F4D"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128</w:t>
            </w:r>
          </w:p>
        </w:tc>
        <w:tc>
          <w:tcPr>
            <w:tcW w:w="0" w:type="auto"/>
            <w:hideMark/>
          </w:tcPr>
          <w:p w14:paraId="00647312"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256</w:t>
            </w:r>
          </w:p>
        </w:tc>
        <w:tc>
          <w:tcPr>
            <w:tcW w:w="0" w:type="auto"/>
            <w:hideMark/>
          </w:tcPr>
          <w:p w14:paraId="289F21B4"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512</w:t>
            </w:r>
          </w:p>
        </w:tc>
        <w:tc>
          <w:tcPr>
            <w:tcW w:w="0" w:type="auto"/>
            <w:hideMark/>
          </w:tcPr>
          <w:p w14:paraId="7BDCB7A7"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1024</w:t>
            </w:r>
          </w:p>
        </w:tc>
        <w:tc>
          <w:tcPr>
            <w:tcW w:w="0" w:type="auto"/>
            <w:hideMark/>
          </w:tcPr>
          <w:p w14:paraId="5D7E71E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2048</w:t>
            </w:r>
          </w:p>
        </w:tc>
        <w:tc>
          <w:tcPr>
            <w:tcW w:w="0" w:type="auto"/>
            <w:hideMark/>
          </w:tcPr>
          <w:p w14:paraId="56E4D561"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2048</w:t>
            </w:r>
          </w:p>
        </w:tc>
      </w:tr>
    </w:tbl>
    <w:p w14:paraId="1171CE60" w14:textId="5606FC89" w:rsidR="001849A3" w:rsidRDefault="001849A3" w:rsidP="001849A3">
      <w:pPr>
        <w:rPr>
          <w:b/>
          <w:lang w:val="en-GB"/>
        </w:rPr>
      </w:pPr>
    </w:p>
    <w:p w14:paraId="6512EE6E" w14:textId="26E995B4" w:rsidR="001849A3" w:rsidRDefault="001849A3" w:rsidP="001849A3">
      <w:pPr>
        <w:rPr>
          <w:b/>
        </w:rPr>
      </w:pPr>
      <w:r w:rsidRPr="001849A3">
        <w:rPr>
          <w:b/>
          <w:u w:val="single"/>
          <w:lang w:val="en-GB"/>
        </w:rPr>
        <w:t>Proposal 5:</w:t>
      </w:r>
      <w:r>
        <w:rPr>
          <w:b/>
          <w:u w:val="single"/>
          <w:lang w:val="en-GB"/>
        </w:rPr>
        <w:t xml:space="preserve"> </w:t>
      </w:r>
      <w:r>
        <w:rPr>
          <w:b/>
          <w:lang w:val="en-GB"/>
        </w:rPr>
        <w:t>The DL quality reporting in msg3 uses N bits (FFS: N=2 or 3).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sidRPr="001849A3">
        <w:rPr>
          <w:b/>
          <w:i/>
        </w:rPr>
        <w:t>npdcch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6A20F174" w14:textId="3FB71F1D" w:rsidR="001849A3" w:rsidRPr="00712DEE" w:rsidRDefault="001849A3" w:rsidP="001849A3">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 (RAN2) and UE accuracy (RAN4).</w:t>
      </w:r>
    </w:p>
    <w:p w14:paraId="33FB9BA9" w14:textId="77777777" w:rsidR="001849A3" w:rsidRPr="001849A3" w:rsidRDefault="001849A3" w:rsidP="001849A3">
      <w:pPr>
        <w:rPr>
          <w:b/>
          <w:u w:val="single"/>
          <w:lang w:val="en-GB"/>
        </w:rPr>
      </w:pPr>
    </w:p>
    <w:p w14:paraId="31AAAA2C" w14:textId="37E03C81" w:rsidR="001849A3" w:rsidRDefault="001849A3" w:rsidP="001849A3">
      <w:pPr>
        <w:rPr>
          <w:b/>
          <w:lang w:val="en-GB"/>
        </w:rPr>
      </w:pPr>
    </w:p>
    <w:p w14:paraId="307DE9EB" w14:textId="5D3C6263" w:rsidR="001849A3" w:rsidRDefault="00712DEE" w:rsidP="002800D7">
      <w:pPr>
        <w:pStyle w:val="Heading1"/>
      </w:pPr>
      <w:r>
        <w:lastRenderedPageBreak/>
        <w:t>Further details</w:t>
      </w:r>
    </w:p>
    <w:p w14:paraId="7097459B" w14:textId="50EFAD65" w:rsidR="00A263AB" w:rsidRPr="00A263AB" w:rsidRDefault="00A263AB" w:rsidP="00A263AB">
      <w:pPr>
        <w:rPr>
          <w:lang w:val="en-GB"/>
        </w:rPr>
      </w:pPr>
      <w:r>
        <w:rPr>
          <w:lang w:val="en-GB"/>
        </w:rPr>
        <w:t xml:space="preserve">One drawback with the proposed DL quality reporting in msg3 is that it is measured on the carrier in which the UE performs the </w:t>
      </w:r>
      <w:proofErr w:type="gramStart"/>
      <w:r>
        <w:rPr>
          <w:lang w:val="en-GB"/>
        </w:rPr>
        <w:t>random access</w:t>
      </w:r>
      <w:proofErr w:type="gramEnd"/>
      <w:r>
        <w:rPr>
          <w:lang w:val="en-GB"/>
        </w:rPr>
        <w:t xml:space="preserve"> procedure. NB-IoT supports carrier redirection, i.e., sending the UE to a different carrier after random access procedure. In the case this redirection happens, and due to the difference in interference, the DL quality of the new carrier may be completely different from that where the UE performed the measurement.</w:t>
      </w:r>
    </w:p>
    <w:p w14:paraId="2AB16C30" w14:textId="65656BE3" w:rsidR="00A263AB" w:rsidRDefault="00A263AB" w:rsidP="00A263AB">
      <w:pPr>
        <w:rPr>
          <w:b/>
          <w:lang w:val="en-GB"/>
        </w:rPr>
      </w:pPr>
      <w:r w:rsidRPr="001849A3">
        <w:rPr>
          <w:b/>
          <w:u w:val="single"/>
          <w:lang w:val="en-GB"/>
        </w:rPr>
        <w:t xml:space="preserve">Observation </w:t>
      </w:r>
      <w:r>
        <w:rPr>
          <w:b/>
          <w:u w:val="single"/>
          <w:lang w:val="en-GB"/>
        </w:rPr>
        <w:t>3</w:t>
      </w:r>
      <w:r w:rsidRPr="001849A3">
        <w:rPr>
          <w:b/>
          <w:u w:val="single"/>
          <w:lang w:val="en-GB"/>
        </w:rPr>
        <w:t>:</w:t>
      </w:r>
      <w:r>
        <w:rPr>
          <w:b/>
          <w:lang w:val="en-GB"/>
        </w:rPr>
        <w:t xml:space="preserve"> The reporting of DL quality in a given carrier has reduce usefulness if the </w:t>
      </w:r>
      <w:proofErr w:type="spellStart"/>
      <w:r>
        <w:rPr>
          <w:b/>
          <w:lang w:val="en-GB"/>
        </w:rPr>
        <w:t>eNB</w:t>
      </w:r>
      <w:proofErr w:type="spellEnd"/>
      <w:r>
        <w:rPr>
          <w:b/>
          <w:lang w:val="en-GB"/>
        </w:rPr>
        <w:t xml:space="preserve"> redirects the UE to a different carrier after RRC Connection. Consider adding this reporting procedure also during connected mode.</w:t>
      </w:r>
    </w:p>
    <w:p w14:paraId="742DF7F8" w14:textId="2A9FD0BE" w:rsidR="001849A3" w:rsidRDefault="001849A3" w:rsidP="00151482">
      <w:pPr>
        <w:rPr>
          <w:b/>
          <w:lang w:val="en-GB"/>
        </w:rPr>
      </w:pPr>
    </w:p>
    <w:p w14:paraId="3C564D43" w14:textId="5CD6969F" w:rsidR="00180821" w:rsidRDefault="00180821" w:rsidP="00180821">
      <w:pPr>
        <w:pStyle w:val="Heading1"/>
      </w:pPr>
      <w:r>
        <w:t>Considerations on L3 filtering</w:t>
      </w:r>
    </w:p>
    <w:p w14:paraId="5017CE68" w14:textId="15649A0A" w:rsidR="00180821" w:rsidRDefault="00180821" w:rsidP="00151482">
      <w:pPr>
        <w:rPr>
          <w:lang w:val="en-GB"/>
        </w:rPr>
      </w:pPr>
      <w:r>
        <w:rPr>
          <w:lang w:val="en-GB"/>
        </w:rPr>
        <w:t>Some companies proposed in RAN1#92 to introduce some sort of L3 filtering for the purpose of getting ‘long-term’ DL quality reporting. Apart from the fact that L3 filtering is not defined for NB-IoT, this approach does not work in a non-anchor carrier for the following reasons:</w:t>
      </w:r>
    </w:p>
    <w:p w14:paraId="5CC4D3E1" w14:textId="2AFC1819" w:rsidR="00180821" w:rsidRPr="00180821" w:rsidRDefault="00180821" w:rsidP="00180821">
      <w:pPr>
        <w:pStyle w:val="ListParagraph"/>
        <w:numPr>
          <w:ilvl w:val="0"/>
          <w:numId w:val="17"/>
        </w:numPr>
        <w:rPr>
          <w:rFonts w:ascii="Times New Roman" w:eastAsia="SimSun" w:hAnsi="Times New Roman"/>
          <w:sz w:val="20"/>
          <w:szCs w:val="20"/>
          <w:lang w:val="en-GB"/>
        </w:rPr>
      </w:pPr>
      <w:r w:rsidRPr="00180821">
        <w:rPr>
          <w:rFonts w:ascii="Times New Roman" w:eastAsia="SimSun" w:hAnsi="Times New Roman"/>
          <w:sz w:val="20"/>
          <w:szCs w:val="20"/>
          <w:lang w:val="en-GB"/>
        </w:rPr>
        <w:t>Long term measurements will require the UE to measure the non-anchor carrier at multiple time instances, thus increasing UE power consumption. Note that the UE is not required today to perform any sort of measurements in non-anchor.</w:t>
      </w:r>
    </w:p>
    <w:p w14:paraId="431E97F3" w14:textId="4082DD2F" w:rsidR="00180821" w:rsidRPr="00180821" w:rsidRDefault="00180821" w:rsidP="00180821">
      <w:pPr>
        <w:pStyle w:val="ListParagraph"/>
        <w:numPr>
          <w:ilvl w:val="0"/>
          <w:numId w:val="17"/>
        </w:numPr>
        <w:rPr>
          <w:rFonts w:ascii="Times New Roman" w:eastAsia="SimSun" w:hAnsi="Times New Roman"/>
          <w:sz w:val="20"/>
          <w:szCs w:val="20"/>
          <w:lang w:val="en-GB"/>
        </w:rPr>
      </w:pPr>
      <w:r w:rsidRPr="00180821">
        <w:rPr>
          <w:rFonts w:ascii="Times New Roman" w:eastAsia="SimSun" w:hAnsi="Times New Roman"/>
          <w:sz w:val="20"/>
          <w:szCs w:val="20"/>
          <w:lang w:val="en-GB"/>
        </w:rPr>
        <w:t>There is sparse NRS availability in non-anchor carriers – present only during random access response window. So even if the UE wanted to perform these measurements</w:t>
      </w:r>
      <w:r>
        <w:rPr>
          <w:rFonts w:ascii="Times New Roman" w:eastAsia="SimSun" w:hAnsi="Times New Roman"/>
          <w:sz w:val="20"/>
          <w:szCs w:val="20"/>
          <w:lang w:val="en-GB"/>
        </w:rPr>
        <w:t xml:space="preserve"> by waking up earlier and measuring the non-anchor carrier (with the corresponding increase in power consumption), the lack of NRS makes this task not possible.</w:t>
      </w:r>
      <w:r w:rsidRPr="00180821">
        <w:rPr>
          <w:rFonts w:ascii="Times New Roman" w:eastAsia="SimSun" w:hAnsi="Times New Roman"/>
          <w:sz w:val="20"/>
          <w:szCs w:val="20"/>
          <w:lang w:val="en-GB"/>
        </w:rPr>
        <w:t xml:space="preserve"> </w:t>
      </w:r>
    </w:p>
    <w:p w14:paraId="0B13B9EA" w14:textId="77777777" w:rsidR="00180821" w:rsidRPr="00180821" w:rsidRDefault="00180821" w:rsidP="00180821">
      <w:pPr>
        <w:pStyle w:val="ListParagraph"/>
        <w:rPr>
          <w:lang w:val="en-GB"/>
        </w:rPr>
      </w:pPr>
    </w:p>
    <w:p w14:paraId="1F2DDF9A" w14:textId="3981BF52" w:rsidR="00180821" w:rsidRPr="00180821" w:rsidRDefault="00180821" w:rsidP="00151482">
      <w:pPr>
        <w:rPr>
          <w:b/>
          <w:lang w:val="en-GB"/>
        </w:rPr>
      </w:pPr>
      <w:r w:rsidRPr="00180821">
        <w:rPr>
          <w:b/>
          <w:u w:val="single"/>
          <w:lang w:val="en-GB"/>
        </w:rPr>
        <w:t>Observation 4:</w:t>
      </w:r>
      <w:r>
        <w:rPr>
          <w:b/>
          <w:lang w:val="en-GB"/>
        </w:rPr>
        <w:t xml:space="preserve"> For non-anchor operation, there is sparse NRS availability (only during random access response). Thus, the UE cannot perform any sort of L3 filtering for DL quality reporting in msg3.</w:t>
      </w:r>
    </w:p>
    <w:p w14:paraId="42482CF4" w14:textId="68B27025" w:rsidR="00A263AB" w:rsidRDefault="00A263AB" w:rsidP="00A263AB">
      <w:pPr>
        <w:pStyle w:val="Heading1"/>
      </w:pPr>
      <w:r>
        <w:t>Summary of proposals</w:t>
      </w:r>
    </w:p>
    <w:p w14:paraId="5BFADEF4" w14:textId="7E813B81" w:rsidR="00A263AB" w:rsidRDefault="00A263AB" w:rsidP="00151482">
      <w:pPr>
        <w:rPr>
          <w:lang w:val="en-GB"/>
        </w:rPr>
      </w:pPr>
      <w:r w:rsidRPr="00A263AB">
        <w:rPr>
          <w:lang w:val="en-GB"/>
        </w:rPr>
        <w:t>In this contribution we presented our views on DL quality reporting for NB-IoT. We made the following proposals</w:t>
      </w:r>
      <w:r>
        <w:rPr>
          <w:lang w:val="en-GB"/>
        </w:rPr>
        <w:t xml:space="preserve"> and observations.</w:t>
      </w:r>
    </w:p>
    <w:p w14:paraId="3ED4BD9F" w14:textId="77777777" w:rsidR="00A263AB" w:rsidRPr="00A263AB" w:rsidRDefault="00A263AB" w:rsidP="00151482">
      <w:pPr>
        <w:rPr>
          <w:lang w:val="en-GB"/>
        </w:rPr>
      </w:pPr>
    </w:p>
    <w:p w14:paraId="3088620C" w14:textId="0228D064" w:rsidR="00A263AB" w:rsidRDefault="00A263AB" w:rsidP="00A263AB">
      <w:pPr>
        <w:rPr>
          <w:b/>
          <w:lang w:val="en-GB"/>
        </w:rPr>
      </w:pPr>
      <w:r w:rsidRPr="001849A3">
        <w:rPr>
          <w:b/>
          <w:u w:val="single"/>
          <w:lang w:val="en-GB"/>
        </w:rPr>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NPDCCH transmitted in the ‘NPDCCH reference resource’ to be decoded with an error probability not exceeding 0.01”. </w:t>
      </w:r>
    </w:p>
    <w:p w14:paraId="39B4826C" w14:textId="77777777" w:rsidR="00A263AB" w:rsidRPr="001849A3" w:rsidRDefault="00A263AB" w:rsidP="00A263AB">
      <w:pPr>
        <w:rPr>
          <w:b/>
          <w:lang w:val="en-GB"/>
        </w:rPr>
      </w:pPr>
      <w:r w:rsidRPr="001849A3">
        <w:rPr>
          <w:b/>
          <w:u w:val="single"/>
          <w:lang w:val="en-GB"/>
        </w:rPr>
        <w:t>Proposal 2:</w:t>
      </w:r>
      <w:r>
        <w:rPr>
          <w:b/>
          <w:lang w:val="en-GB"/>
        </w:rPr>
        <w:t xml:space="preserve"> The ‘NPDCCH reference resource’ is defined as ‘A candidate mapped onto the Type-2 common search space with aggregation level of AL=2 and starting in subframe </w:t>
      </w:r>
      <w:r>
        <w:rPr>
          <w:b/>
          <w:i/>
          <w:lang w:val="en-GB"/>
        </w:rPr>
        <w:t>s</w:t>
      </w:r>
      <w:r>
        <w:rPr>
          <w:b/>
          <w:i/>
          <w:vertAlign w:val="subscript"/>
          <w:lang w:val="en-GB"/>
        </w:rPr>
        <w:t>0</w:t>
      </w:r>
      <w:r>
        <w:rPr>
          <w:b/>
          <w:i/>
          <w:lang w:val="en-GB"/>
        </w:rPr>
        <w:t>”</w:t>
      </w:r>
      <w:r>
        <w:rPr>
          <w:b/>
          <w:lang w:val="en-GB"/>
        </w:rPr>
        <w:t xml:space="preserve"> </w:t>
      </w:r>
    </w:p>
    <w:p w14:paraId="53851E9C" w14:textId="77777777" w:rsidR="00A263AB" w:rsidRDefault="00A263AB" w:rsidP="00A263AB">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first subframe of the first candidate of the first Type-2 search space in the </w:t>
      </w:r>
      <w:proofErr w:type="gramStart"/>
      <w:r>
        <w:rPr>
          <w:b/>
          <w:lang w:val="en-GB"/>
        </w:rPr>
        <w:t>random access</w:t>
      </w:r>
      <w:proofErr w:type="gramEnd"/>
      <w:r>
        <w:rPr>
          <w:b/>
          <w:lang w:val="en-GB"/>
        </w:rPr>
        <w:t xml:space="preserve"> response window of the current random access attempt.</w:t>
      </w:r>
    </w:p>
    <w:p w14:paraId="0661B709" w14:textId="77777777" w:rsidR="00A263AB" w:rsidRDefault="00A263AB" w:rsidP="00A263AB">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is</w:t>
      </w:r>
      <w:proofErr w:type="gramEnd"/>
      <w:r>
        <w:rPr>
          <w:b/>
          <w:lang w:val="en-GB"/>
        </w:rPr>
        <w:t xml:space="preserve"> based on “an </w:t>
      </w:r>
      <w:r w:rsidRPr="00712DEE">
        <w:rPr>
          <w:b/>
          <w:lang w:val="en-GB"/>
        </w:rPr>
        <w:t>unrestricted observation interval in time, and an unrestricted observation interval in frequency</w:t>
      </w:r>
      <w:r>
        <w:rPr>
          <w:b/>
          <w:lang w:val="en-GB"/>
        </w:rPr>
        <w:t>”.</w:t>
      </w:r>
    </w:p>
    <w:p w14:paraId="6DB78844" w14:textId="77777777" w:rsidR="00A263AB" w:rsidRDefault="00A263AB" w:rsidP="00A263AB">
      <w:pPr>
        <w:ind w:left="288"/>
        <w:rPr>
          <w:b/>
          <w:lang w:val="en-GB"/>
        </w:rPr>
      </w:pPr>
      <w:r>
        <w:rPr>
          <w:b/>
          <w:lang w:val="en-GB"/>
        </w:rPr>
        <w:t>- When defining the accuracy requirements for the DL quality report, RAN4 to take into account the availability of NRS in non-anchor carriers, as well as the UE power consumption resulting from measuring additional NRS subframes (including the case of NPDCCH early termination).</w:t>
      </w:r>
    </w:p>
    <w:p w14:paraId="4A562B9F" w14:textId="77777777" w:rsidR="00A263AB" w:rsidRDefault="00A263AB" w:rsidP="00A263AB">
      <w:pPr>
        <w:rPr>
          <w:b/>
        </w:rPr>
      </w:pPr>
      <w:r w:rsidRPr="001849A3">
        <w:rPr>
          <w:b/>
          <w:u w:val="single"/>
          <w:lang w:val="en-GB"/>
        </w:rPr>
        <w:t>Proposal 5:</w:t>
      </w:r>
      <w:r>
        <w:rPr>
          <w:b/>
          <w:u w:val="single"/>
          <w:lang w:val="en-GB"/>
        </w:rPr>
        <w:t xml:space="preserve"> </w:t>
      </w:r>
      <w:r>
        <w:rPr>
          <w:b/>
          <w:lang w:val="en-GB"/>
        </w:rPr>
        <w:t>The DL quality reporting in msg3 uses N bits (FFS: N=2 or 3).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sidRPr="001849A3">
        <w:rPr>
          <w:b/>
          <w:i/>
        </w:rPr>
        <w:t>npdcch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66D4481B" w14:textId="77777777" w:rsidR="00A263AB" w:rsidRPr="00712DEE" w:rsidRDefault="00A263AB" w:rsidP="00A263AB">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 (RAN2) and UE accuracy (RAN4).</w:t>
      </w:r>
    </w:p>
    <w:p w14:paraId="7F9703D8" w14:textId="77777777" w:rsidR="00A263AB" w:rsidRDefault="00A263AB" w:rsidP="00A263AB">
      <w:pPr>
        <w:rPr>
          <w:b/>
          <w:u w:val="single"/>
          <w:lang w:val="en-GB"/>
        </w:rPr>
      </w:pPr>
    </w:p>
    <w:p w14:paraId="511AD5D3" w14:textId="0D89EEB3" w:rsidR="00A263AB" w:rsidRDefault="00A263AB" w:rsidP="00A263AB">
      <w:pPr>
        <w:rPr>
          <w:b/>
          <w:lang w:val="en-GB"/>
        </w:rPr>
      </w:pPr>
      <w:r w:rsidRPr="001849A3">
        <w:rPr>
          <w:b/>
          <w:u w:val="single"/>
          <w:lang w:val="en-GB"/>
        </w:rPr>
        <w:t xml:space="preserve">Observation </w:t>
      </w:r>
      <w:r>
        <w:rPr>
          <w:b/>
          <w:u w:val="single"/>
          <w:lang w:val="en-GB"/>
        </w:rPr>
        <w:t>3</w:t>
      </w:r>
      <w:r w:rsidRPr="001849A3">
        <w:rPr>
          <w:b/>
          <w:u w:val="single"/>
          <w:lang w:val="en-GB"/>
        </w:rPr>
        <w:t>:</w:t>
      </w:r>
      <w:r>
        <w:rPr>
          <w:b/>
          <w:lang w:val="en-GB"/>
        </w:rPr>
        <w:t xml:space="preserve"> The reporting of DL quality in a given carrier has reduce usefulness if the </w:t>
      </w:r>
      <w:proofErr w:type="spellStart"/>
      <w:r>
        <w:rPr>
          <w:b/>
          <w:lang w:val="en-GB"/>
        </w:rPr>
        <w:t>eNB</w:t>
      </w:r>
      <w:proofErr w:type="spellEnd"/>
      <w:r>
        <w:rPr>
          <w:b/>
          <w:lang w:val="en-GB"/>
        </w:rPr>
        <w:t xml:space="preserve"> redirects the UE to a different carrier after RRC Connection. Consider adding this reporting procedure also during connected mode.</w:t>
      </w:r>
    </w:p>
    <w:p w14:paraId="1670F0BF" w14:textId="77777777" w:rsidR="00180821" w:rsidRPr="00180821" w:rsidRDefault="00180821" w:rsidP="00180821">
      <w:pPr>
        <w:rPr>
          <w:b/>
          <w:lang w:val="en-GB"/>
        </w:rPr>
      </w:pPr>
      <w:r w:rsidRPr="00180821">
        <w:rPr>
          <w:b/>
          <w:u w:val="single"/>
          <w:lang w:val="en-GB"/>
        </w:rPr>
        <w:t>Observation 4:</w:t>
      </w:r>
      <w:r>
        <w:rPr>
          <w:b/>
          <w:lang w:val="en-GB"/>
        </w:rPr>
        <w:t xml:space="preserve"> For non-anchor operation, there is sparse NRS availability (only during random access response). Thus, the UE cannot perform any sort of L3 filtering for DL quality reporting in msg3.</w:t>
      </w:r>
    </w:p>
    <w:p w14:paraId="529FA21B" w14:textId="77777777" w:rsidR="00A263AB" w:rsidRPr="00180821" w:rsidRDefault="00A263AB" w:rsidP="00151482">
      <w:pPr>
        <w:rPr>
          <w:b/>
          <w:lang w:val="en-GB"/>
        </w:rPr>
      </w:pPr>
    </w:p>
    <w:sectPr w:rsidR="00A263AB" w:rsidRPr="0018082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8C790" w14:textId="77777777" w:rsidR="005F100A" w:rsidRDefault="005F100A">
      <w:r>
        <w:separator/>
      </w:r>
    </w:p>
  </w:endnote>
  <w:endnote w:type="continuationSeparator" w:id="0">
    <w:p w14:paraId="08B338F8" w14:textId="77777777" w:rsidR="005F100A" w:rsidRDefault="005F100A">
      <w:r>
        <w:continuationSeparator/>
      </w:r>
    </w:p>
  </w:endnote>
  <w:endnote w:type="continuationNotice" w:id="1">
    <w:p w14:paraId="4E510867" w14:textId="77777777" w:rsidR="005F100A" w:rsidRDefault="005F1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F4376" w14:textId="77777777" w:rsidR="005F100A" w:rsidRDefault="005F100A">
      <w:r>
        <w:separator/>
      </w:r>
    </w:p>
  </w:footnote>
  <w:footnote w:type="continuationSeparator" w:id="0">
    <w:p w14:paraId="5D50582E" w14:textId="77777777" w:rsidR="005F100A" w:rsidRDefault="005F100A">
      <w:r>
        <w:continuationSeparator/>
      </w:r>
    </w:p>
  </w:footnote>
  <w:footnote w:type="continuationNotice" w:id="1">
    <w:p w14:paraId="1DA3047B" w14:textId="77777777" w:rsidR="005F100A" w:rsidRDefault="005F1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5"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8"/>
  </w:num>
  <w:num w:numId="5">
    <w:abstractNumId w:val="14"/>
  </w:num>
  <w:num w:numId="6">
    <w:abstractNumId w:val="4"/>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3"/>
  </w:num>
  <w:num w:numId="12">
    <w:abstractNumId w:val="3"/>
  </w:num>
  <w:num w:numId="13">
    <w:abstractNumId w:val="5"/>
  </w:num>
  <w:num w:numId="14">
    <w:abstractNumId w:val="2"/>
  </w:num>
  <w:num w:numId="15">
    <w:abstractNumId w:val="7"/>
  </w:num>
  <w:num w:numId="16">
    <w:abstractNumId w:val="12"/>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AB62ECA-F289-4D43-A186-7271D351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1456</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17</cp:revision>
  <cp:lastPrinted>2014-11-07T05:38:00Z</cp:lastPrinted>
  <dcterms:created xsi:type="dcterms:W3CDTF">2017-05-05T18:09:00Z</dcterms:created>
  <dcterms:modified xsi:type="dcterms:W3CDTF">2018-04-07T01:16:00Z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